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60" w:line="384" w:lineRule="auto"/>
        <w:jc w:val="center"/>
      </w:pPr>
      <w:r>
        <w:rPr>
          <w:rFonts w:ascii="Cambria" w:cs="Cambria" w:eastAsia="Cambria" w:hAnsi="Cambria"/>
          <w:b w:val="false"/>
          <w:bCs w:val="false"/>
          <w:i w:val="false"/>
          <w:iCs w:val="false"/>
          <w:strike w:val="false"/>
          <w:color w:val="666666"/>
          <w:sz w:val="24"/>
          <w:szCs w:val="24"/>
        </w:rPr>
        <w:t xml:space="preserve">MEMORANDUM IN SUPPORT OF TEXTUAL PRIMACY</w:t>
      </w:r>
    </w:p>
    <w:p>
      <w:pPr>
        <w:spacing w:after="240" w:before="60" w:line="384" w:lineRule="auto"/>
        <w:jc w:val="center"/>
      </w:pPr>
      <w:r>
        <w:rPr>
          <w:rFonts w:ascii="Cambria" w:cs="Cambria" w:eastAsia="Cambria" w:hAnsi="Cambria"/>
          <w:b w:val="false"/>
          <w:bCs w:val="false"/>
          <w:i w:val="false"/>
          <w:iCs w:val="false"/>
          <w:strike w:val="false"/>
          <w:color w:val="666666"/>
          <w:sz w:val="24"/>
          <w:szCs w:val="24"/>
        </w:rPr>
        <w:t xml:space="preserve">━━━━━━━━━━━━━━━━━━━━━━━━━━━━━━━━</w:t>
      </w:r>
    </w:p>
    <w:p>
      <w:pPr>
        <w:pStyle w:val="Heading1"/>
        <w:spacing w:after="120" w:before="480" w:line="312" w:lineRule="auto"/>
        <w:jc w:val="center"/>
      </w:pPr>
      <w:r>
        <w:rPr>
          <w:rFonts w:ascii="Cambria" w:cs="Cambria" w:eastAsia="Cambria" w:hAnsi="Cambria"/>
          <w:color w:val="1A2744"/>
          <w:sz w:val="48"/>
          <w:szCs w:val="48"/>
        </w:rPr>
        <w:t xml:space="preserve">STATUTORY–DOCTRINAL DIVERGENCE ANALYSIS</w:t>
      </w:r>
    </w:p>
    <w:p>
      <w:pPr>
        <w:spacing w:after="60" w:before="60" w:line="384" w:lineRule="auto"/>
        <w:jc w:val="center"/>
      </w:pPr>
      <w:r>
        <w:rPr>
          <w:rFonts w:ascii="Cambria" w:cs="Cambria" w:eastAsia="Cambria" w:hAnsi="Cambria"/>
          <w:b/>
          <w:bCs/>
          <w:i w:val="false"/>
          <w:iCs w:val="false"/>
          <w:strike w:val="false"/>
          <w:color w:val="1A2744"/>
          <w:sz w:val="24"/>
          <w:szCs w:val="24"/>
        </w:rPr>
        <w:t xml:space="preserve">A Unified Framework for Identifying, Mapping, and Correcting</w:t>
      </w:r>
      <w:r>
        <w:rPr>
          <w:rFonts w:ascii="Cambria" w:cs="Cambria" w:eastAsia="Cambria" w:hAnsi="Cambria"/>
          <w:b/>
          <w:bCs/>
          <w:i w:val="false"/>
          <w:iCs w:val="false"/>
          <w:color w:val="1A2744"/>
          <w:sz w:val="24"/>
          <w:szCs w:val="24"/>
        </w:rPr>
        <w:br/>
      </w:r>
      <w:r>
        <w:rPr>
          <w:rFonts w:ascii="Cambria" w:cs="Cambria" w:eastAsia="Cambria" w:hAnsi="Cambria"/>
          <w:b/>
          <w:bCs/>
          <w:i w:val="false"/>
          <w:iCs w:val="false"/>
          <w:strike w:val="false"/>
          <w:color w:val="1A2744"/>
          <w:sz w:val="24"/>
          <w:szCs w:val="24"/>
        </w:rPr>
        <w:t xml:space="preserve">Judicial Departures from Statutory Text</w:t>
      </w:r>
    </w:p>
    <w:p>
      <w:pPr>
        <w:spacing w:after="60" w:before="60" w:line="384" w:lineRule="auto"/>
        <w:jc w:val="center"/>
      </w:pPr>
      <w:r>
        <w:rPr>
          <w:rFonts w:ascii="Cambria" w:cs="Cambria" w:eastAsia="Cambria" w:hAnsi="Cambria"/>
          <w:b w:val="false"/>
          <w:bCs w:val="false"/>
          <w:i w:val="false"/>
          <w:iCs w:val="false"/>
          <w:strike w:val="false"/>
          <w:color w:val="666666"/>
          <w:sz w:val="24"/>
          <w:szCs w:val="24"/>
        </w:rPr>
        <w:t xml:space="preserve">━━━━━━━━━━━━━━━━━━━━━━━━━━━━━━━━</w:t>
      </w:r>
    </w:p>
    <w:p>
      <w:pPr>
        <w:spacing w:after="60" w:before="60" w:line="384" w:lineRule="auto"/>
        <w:jc w:val="center"/>
      </w:pPr>
      <w:r>
        <w:rPr>
          <w:rFonts w:ascii="Cambria" w:cs="Cambria" w:eastAsia="Cambria" w:hAnsi="Cambria"/>
          <w:b w:val="false"/>
          <w:bCs w:val="false"/>
          <w:i w:val="false"/>
          <w:iCs w:val="false"/>
          <w:strike w:val="false"/>
          <w:color w:val="666666"/>
          <w:sz w:val="24"/>
          <w:szCs w:val="24"/>
        </w:rPr>
        <w:t xml:space="preserve">Prepared for Use in Motions, Briefs, and Oral Argument</w:t>
      </w:r>
    </w:p>
    <w:p>
      <w:pPr>
        <w:pBdr>
          <w:bottom w:val="single" w:color="1A2744"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2744" w:sz="6"/>
              <w:left w:val="single" w:color="1A2744" w:sz="6"/>
              <w:bottom w:val="single" w:color="1A2744" w:sz="6"/>
              <w:right w:val="single" w:color="1A2744" w:sz="6"/>
            </w:tcBorders>
            <w:shd w:fill="F5F5F5" w:color="auto" w:val="clear"/>
            <w:tcMar>
              <w:top w:type="dxa" w:w="180"/>
              <w:left w:type="dxa" w:w="180"/>
              <w:bottom w:type="dxa" w:w="180"/>
              <w:right w:type="dxa" w:w="180"/>
            </w:tcMar>
          </w:tcPr>
          <w:p>
            <w:pPr>
              <w:spacing w:after="60" w:line="384" w:lineRule="auto"/>
            </w:pPr>
            <w:r>
              <w:rPr>
                <w:rFonts w:ascii="Cambria" w:cs="Cambria" w:eastAsia="Cambria" w:hAnsi="Cambria"/>
                <w:b/>
                <w:bCs/>
                <w:i w:val="false"/>
                <w:iCs w:val="false"/>
                <w:strike w:val="false"/>
                <w:color w:val="1A2744"/>
                <w:sz w:val="24"/>
                <w:szCs w:val="24"/>
              </w:rPr>
              <w:t xml:space="preserve">Scope and Purpose</w:t>
            </w:r>
          </w:p>
          <w:p>
            <w:pPr>
              <w:spacing w:after="120" w:line="384" w:lineRule="auto"/>
            </w:pPr>
            <w:r>
              <w:rPr>
                <w:rFonts w:ascii="Cambria" w:cs="Cambria" w:eastAsia="Cambria" w:hAnsi="Cambria"/>
                <w:b w:val="false"/>
                <w:bCs w:val="false"/>
                <w:i w:val="false"/>
                <w:iCs w:val="false"/>
                <w:strike w:val="false"/>
                <w:color w:val="000000"/>
                <w:sz w:val="24"/>
                <w:szCs w:val="24"/>
              </w:rPr>
              <w:t xml:space="preserve">This document provides a unified litigation framework for identifying, cataloging, and challenging the mechanisms by which judicial doctrine diverges from statutory text. It is designed for use in motions, briefs, and oral argument where statutory meaning has been displaced by judge-made doctrine. All statutory-side content derives exclusively from enacted text; all doctrinal-side content is clearly labeled as judicially constructed. The framework encompasses sixteen distinct divergence mechanisms, a diagnostic flowchart tracing the path from enacted text to doctrinal displacement, a formal legal argument for textual primacy, and a side-by-side comparison of statutory versus doctrinal categories across fourteen domains of law. Together, these components equip the practitioner with a comprehensive toolkit for restoring the primacy of the enacted word.</w:t>
            </w:r>
          </w:p>
        </w:tc>
      </w:tr>
    </w:tbl>
    <w:p>
      <w:pPr>
        <w:spacing w:after="240" w:before="0"/>
      </w:pPr>
    </w:p>
    <w:p>
      <w:pPr>
        <w:pStyle w:val="Heading2"/>
        <w:spacing w:after="120" w:before="360" w:line="312" w:lineRule="auto"/>
      </w:pPr>
      <w:r>
        <w:rPr>
          <w:rFonts w:ascii="Cambria" w:cs="Cambria" w:eastAsia="Cambria" w:hAnsi="Cambria"/>
          <w:color w:val="1A2744"/>
          <w:sz w:val="36"/>
          <w:szCs w:val="36"/>
        </w:rPr>
        <w:t xml:space="preserve">TABLE OF CONTENTS</w:t>
      </w:r>
    </w:p>
    <w:p>
      <w:pPr>
        <w:spacing w:after="60" w:before="120" w:line="384" w:lineRule="auto"/>
      </w:pPr>
      <w:r>
        <w:rPr>
          <w:rFonts w:ascii="Cambria" w:cs="Cambria" w:eastAsia="Cambria" w:hAnsi="Cambria"/>
          <w:b/>
          <w:bCs/>
          <w:i w:val="false"/>
          <w:iCs w:val="false"/>
          <w:strike w:val="false"/>
          <w:color w:val="000000"/>
          <w:sz w:val="22"/>
          <w:szCs w:val="22"/>
        </w:rPr>
        <w:t xml:space="preserve">PREFATORY MATTER</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Scope and Purpose</w:t>
      </w:r>
    </w:p>
    <w:p>
      <w:pPr>
        <w:spacing w:after="60" w:before="120" w:line="384" w:lineRule="auto"/>
      </w:pPr>
      <w:r>
        <w:rPr>
          <w:rFonts w:ascii="Cambria" w:cs="Cambria" w:eastAsia="Cambria" w:hAnsi="Cambria"/>
          <w:b/>
          <w:bCs/>
          <w:i w:val="false"/>
          <w:iCs w:val="false"/>
          <w:strike w:val="false"/>
          <w:color w:val="000000"/>
          <w:sz w:val="22"/>
          <w:szCs w:val="22"/>
        </w:rPr>
        <w:t xml:space="preserve">PART I — Table of Statutory–Doctrinal Divergence Mechanisms</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Mechanisms M-01 through M-16</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Legend: Direction of Drift and Structural Risk</w:t>
      </w:r>
    </w:p>
    <w:p>
      <w:pPr>
        <w:spacing w:after="60" w:before="120" w:line="384" w:lineRule="auto"/>
      </w:pPr>
      <w:r>
        <w:rPr>
          <w:rFonts w:ascii="Cambria" w:cs="Cambria" w:eastAsia="Cambria" w:hAnsi="Cambria"/>
          <w:b/>
          <w:bCs/>
          <w:i w:val="false"/>
          <w:iCs w:val="false"/>
          <w:strike w:val="false"/>
          <w:color w:val="000000"/>
          <w:sz w:val="22"/>
          <w:szCs w:val="22"/>
        </w:rPr>
        <w:t xml:space="preserve">PART II — Divergence Flowchart: From Statutory Text to Judicial Doctrine</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Stage 1: Enacted Text</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Stage 2: Initial Judicial Encounter</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Stage 3: Interpretive Intervention</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Stage 4: Doctrinal Crystallization</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Stage 5: Divergence Entrenchment</w:t>
      </w:r>
    </w:p>
    <w:p>
      <w:pPr>
        <w:spacing w:after="60" w:before="120" w:line="384" w:lineRule="auto"/>
      </w:pPr>
      <w:r>
        <w:rPr>
          <w:rFonts w:ascii="Cambria" w:cs="Cambria" w:eastAsia="Cambria" w:hAnsi="Cambria"/>
          <w:b/>
          <w:bCs/>
          <w:i w:val="false"/>
          <w:iCs w:val="false"/>
          <w:strike w:val="false"/>
          <w:color w:val="000000"/>
          <w:sz w:val="22"/>
          <w:szCs w:val="22"/>
        </w:rPr>
        <w:t xml:space="preserve">PART III — Argument: The Constitutional Imperative of Textual Primacy</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I. The Constitutional Text Assigns Lawmaking Power Exclusively to the Legislature</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II. Doctrinal Drift Violates the Rule of Lenity and Fair Notice</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III. The Separation of Powers Demands Judicial Restraint in Statutory Construction</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IV. Practical Consequences of Doctrinal Displacement</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V. Conclusion and Requested Relief</w:t>
      </w:r>
    </w:p>
    <w:p>
      <w:pPr>
        <w:spacing w:after="60" w:before="120" w:line="384" w:lineRule="auto"/>
      </w:pPr>
      <w:r>
        <w:rPr>
          <w:rFonts w:ascii="Cambria" w:cs="Cambria" w:eastAsia="Cambria" w:hAnsi="Cambria"/>
          <w:b/>
          <w:bCs/>
          <w:i w:val="false"/>
          <w:iCs w:val="false"/>
          <w:strike w:val="false"/>
          <w:color w:val="000000"/>
          <w:sz w:val="22"/>
          <w:szCs w:val="22"/>
        </w:rPr>
        <w:t xml:space="preserve">PART IV — Side-by-Side Comparison: Statutory Categories vs. Doctrinal Categories</w:t>
      </w:r>
    </w:p>
    <w:p>
      <w:pPr>
        <w:spacing w:after="60" w:before="60" w:line="384" w:lineRule="auto"/>
      </w:pPr>
      <w:r>
        <w:rPr>
          <w:rFonts w:ascii="Cambria" w:cs="Cambria" w:eastAsia="Cambria" w:hAnsi="Cambria"/>
          <w:b w:val="false"/>
          <w:bCs w:val="false"/>
          <w:i w:val="false"/>
          <w:iCs w:val="false"/>
          <w:strike w:val="false"/>
          <w:color w:val="000000"/>
          <w:sz w:val="22"/>
          <w:szCs w:val="22"/>
        </w:rPr>
        <w:t xml:space="preserve">Fourteen-Domain Comparison Table</w:t>
      </w:r>
    </w:p>
    <w:p>
      <w:pPr>
        <w:spacing w:after="60" w:before="120" w:line="384" w:lineRule="auto"/>
      </w:pPr>
      <w:r>
        <w:rPr>
          <w:rFonts w:ascii="Cambria" w:cs="Cambria" w:eastAsia="Cambria" w:hAnsi="Cambria"/>
          <w:b/>
          <w:bCs/>
          <w:i w:val="false"/>
          <w:iCs w:val="false"/>
          <w:strike w:val="false"/>
          <w:color w:val="000000"/>
          <w:sz w:val="22"/>
          <w:szCs w:val="22"/>
        </w:rPr>
        <w:t xml:space="preserve">APPENDIX — Methodological Note</w:t>
      </w:r>
    </w:p>
    <w:p>
      <w:pPr>
        <w:pBdr>
          <w:bottom w:val="single" w:color="CCCCCC" w:sz="6"/>
        </w:pBdr>
        <w:spacing w:after="240" w:before="240"/>
      </w:pPr>
    </w:p>
    <w:p>
      <w:pPr>
        <w:pStyle w:val="Heading1"/>
        <w:spacing w:after="120" w:before="480" w:line="312" w:lineRule="auto"/>
      </w:pPr>
      <w:r>
        <w:rPr>
          <w:rFonts w:ascii="Cambria" w:cs="Cambria" w:eastAsia="Cambria" w:hAnsi="Cambria"/>
          <w:color w:val="1A2744"/>
          <w:sz w:val="48"/>
          <w:szCs w:val="48"/>
        </w:rPr>
        <w:t xml:space="preserve">PART I — TABLE OF STATUTORY–DOCTRINAL DIVERGENCE MECHANISMS</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The following table catalogs sixteen distinct mechanisms by which judicial doctrine diverges from statutory text. Each mechanism is identified by a unique reference number, described with reference to the statutory basis it departs from, and assessed for both direction of drift and structural risk to the integrity of the enacted law.</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9%"/>
            <w:shd w:fill="1A2744"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ID</w:t>
            </w:r>
          </w:p>
        </w:tc>
        <w:tc>
          <w:tcPr>
            <w:tcW w:type="pct" w:w="13%"/>
            <w:shd w:fill="1A2744"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Divergence Mechanism</w:t>
            </w:r>
          </w:p>
        </w:tc>
        <w:tc>
          <w:tcPr>
            <w:tcW w:type="pct" w:w="28%"/>
            <w:shd w:fill="1A2744"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Statutory Basis</w:t>
            </w:r>
          </w:p>
        </w:tc>
        <w:tc>
          <w:tcPr>
            <w:tcW w:type="pct" w:w="31%"/>
            <w:shd w:fill="1A2744"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Doctrinal Override</w:t>
            </w:r>
          </w:p>
        </w:tc>
        <w:tc>
          <w:tcPr>
            <w:tcW w:type="pct" w:w="11%"/>
            <w:shd w:fill="1A2744"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Direction of Drift</w:t>
            </w:r>
          </w:p>
        </w:tc>
        <w:tc>
          <w:tcPr>
            <w:tcW w:type="pct" w:w="8%"/>
            <w:shd w:fill="1A2744"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Structural Risk</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Implied Exception Grafting</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provides categorical coverage without exception. The enacted text contains no carve-outs, qualifications, or exclusionary provisions.</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implies unstated exceptions based on inferred “legislative intent” or the “absurd results” doctrine, creating limitations the legislature did not enact.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Narrowing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0000"/>
                <w:sz w:val="24"/>
                <w:szCs w:val="24"/>
              </w:rPr>
              <w:t xml:space="preserve">Critical</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M-02</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Balancing Test Substitution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establishes clear categorical rules with bright-line standards for application.</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creates multi-factor balancing tests that displace the statutory rule, substituting judicial discretion for legislative certainty.</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Substitution</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0000"/>
                <w:sz w:val="24"/>
                <w:szCs w:val="24"/>
              </w:rPr>
              <w:t xml:space="preserve">Critical</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M-03</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Mens Rea Importation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imposes liability without a mental-state element. The text is silent on scienter or expressly creates strict liability.</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reads in “knowing,” “willful,” or “intentional” requirements, adding an element Congress chose not to include.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Narrowing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CC5500"/>
                <w:sz w:val="24"/>
                <w:szCs w:val="24"/>
              </w:rPr>
              <w:t xml:space="preserve">High</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M-04</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Standing Constriction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grants a cause of action to “any person” or a specified class, with no additional jurisdictional prerequisites.</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adds injury-in-fact, causation, and redressability requirements that exclude parties Congress intended to authorize as plaintiffs.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Narrowing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0000"/>
                <w:sz w:val="24"/>
                <w:szCs w:val="24"/>
              </w:rPr>
              <w:t xml:space="preserve">Critical</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M-05</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Remedial Truncation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authorizes specific remedies—injunctive relief, declaratory relief, damages, attorneys’ fees—using mandatory language.</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imposes prudential limits, exhaustion requirements, or immunity doctrines that block access to statutory remedies.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Narrowing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CC5500"/>
                <w:sz w:val="24"/>
                <w:szCs w:val="24"/>
              </w:rPr>
              <w:t xml:space="preserve">High</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M-06</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Definitional Expansion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defines a term with specificity through an enacted definitions section or operative language.</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expands the definition to cover conduct, entities, or circumstances not within the statutory text’s enacted scope.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Expansion</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7700"/>
                <w:sz w:val="24"/>
                <w:szCs w:val="24"/>
              </w:rPr>
              <w:t xml:space="preserve">Medium</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M-07</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Deference Delegation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assigns meaning through enacted definitions and operative provisions. Congress has spoken to the precise question at issue.</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defers to agency construction under </w:t>
            </w:r>
            <w:r>
              <w:rPr>
                <w:rFonts w:ascii="Cambria" w:cs="Cambria" w:eastAsia="Cambria" w:hAnsi="Cambria"/>
                <w:b w:val="false"/>
                <w:bCs w:val="false"/>
                <w:i/>
                <w:iCs/>
                <w:strike w:val="false"/>
                <w:color w:val="000000"/>
                <w:sz w:val="24"/>
                <w:szCs w:val="24"/>
              </w:rPr>
              <w:t xml:space="preserve">Chevron/Auer</w:t>
            </w:r>
            <w:r>
              <w:rPr>
                <w:rFonts w:ascii="Cambria" w:cs="Cambria" w:eastAsia="Cambria" w:hAnsi="Cambria"/>
                <w:b w:val="false"/>
                <w:bCs w:val="false"/>
                <w:i w:val="false"/>
                <w:iCs w:val="false"/>
                <w:strike w:val="false"/>
                <w:color w:val="000000"/>
                <w:sz w:val="20"/>
                <w:szCs w:val="20"/>
              </w:rPr>
              <w:t xml:space="preserve"> frameworks, treating executive interpretation as authoritative over enacted text.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Substitution</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CC5500"/>
                <w:sz w:val="24"/>
                <w:szCs w:val="24"/>
              </w:rPr>
              <w:t xml:space="preserve">High</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M-08</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Purposive Override</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Statute’s operative text is clear and unambiguous on its face.</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consults legislative history or inferred purpose to reach a result the plain text does not support, subordinating enacted language to extrinsic materials.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Substitution</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0000"/>
                <w:sz w:val="24"/>
                <w:szCs w:val="24"/>
              </w:rPr>
              <w:t xml:space="preserve">Critical</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M-09</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Temporal Displacement</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uses terms with fixed meaning at time of enactment, reflecting the linguistic and legal context of the enacting Congress.</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applies evolving standards, contemporary definitions, or modern social understanding that alter the original statutory scope.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Expansion or Narrowing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7700"/>
                <w:sz w:val="24"/>
                <w:szCs w:val="24"/>
              </w:rPr>
              <w:t xml:space="preserve">Medium</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M-10</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Immunity Fabrication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imposes duties or liabilities without immunity provisions. The enacted text contains no shield from suit or liability.</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fashions qualified immunity, absolute immunity, or sovereign immunity doctrines not found anywhere in the statutory scheme.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Narrowing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0000"/>
                <w:sz w:val="24"/>
                <w:szCs w:val="24"/>
              </w:rPr>
              <w:t xml:space="preserve">Critical</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M-11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Exhaustion Imposition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provides direct judicial review or a cause of action without exhaustion prerequisites.</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requires claimants to exhaust administrative remedies before accessing courts, adding a procedural barrier Congress did not enact.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Narrowing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CC5500"/>
                <w:sz w:val="24"/>
                <w:szCs w:val="24"/>
              </w:rPr>
              <w:t xml:space="preserve">High</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M-12</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Canon Overreach</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Statute’s text is determinate; its meaning is plain and admits of no genuine ambiguity.</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applies the rule of lenity, constitutional avoidance, or other substantive canons to reach a result the text does not require or support.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Varies</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7700"/>
                <w:sz w:val="24"/>
                <w:szCs w:val="24"/>
              </w:rPr>
              <w:t xml:space="preserve">Medium</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M-13</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Precedential Fossilization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Statute’s current text provides a clear rule, as amended and enacted by Congress.</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follows precedent interpreting an earlier version of the statute, or perpetuates an initial misreading that has become entrenched through </w:t>
            </w:r>
            <w:r>
              <w:rPr>
                <w:rFonts w:ascii="Cambria" w:cs="Cambria" w:eastAsia="Cambria" w:hAnsi="Cambria"/>
                <w:b w:val="false"/>
                <w:bCs w:val="false"/>
                <w:i/>
                <w:iCs/>
                <w:strike w:val="false"/>
                <w:color w:val="000000"/>
                <w:sz w:val="24"/>
                <w:szCs w:val="24"/>
              </w:rPr>
              <w:t xml:space="preserve">stare decisis</w:t>
            </w:r>
            <w:r>
              <w:rPr>
                <w:rFonts w:ascii="Cambria" w:cs="Cambria" w:eastAsia="Cambria" w:hAnsi="Cambria"/>
                <w:b w:val="false"/>
                <w:bCs w:val="false"/>
                <w:i w:val="false"/>
                <w:iCs w:val="false"/>
                <w:strike w:val="false"/>
                <w:color w:val="000000"/>
                <w:sz w:val="20"/>
                <w:szCs w:val="20"/>
              </w:rPr>
              <w:t xml:space="preserv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Varies</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CC5500"/>
                <w:sz w:val="24"/>
                <w:szCs w:val="24"/>
              </w:rPr>
              <w:t xml:space="preserve">High</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M-14</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Abstention Displacement</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grants federal jurisdiction over specified claims. Congress has affirmatively conferred judicial power.</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invokes abstention doctrines (</w:t>
            </w:r>
            <w:r>
              <w:rPr>
                <w:rFonts w:ascii="Cambria" w:cs="Cambria" w:eastAsia="Cambria" w:hAnsi="Cambria"/>
                <w:b w:val="false"/>
                <w:bCs w:val="false"/>
                <w:i/>
                <w:iCs/>
                <w:strike w:val="false"/>
                <w:color w:val="000000"/>
                <w:sz w:val="24"/>
                <w:szCs w:val="24"/>
              </w:rPr>
              <w:t xml:space="preserve">Pullman</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Burford</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Colorado River</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Younger</w:t>
            </w:r>
            <w:r>
              <w:rPr>
                <w:rFonts w:ascii="Cambria" w:cs="Cambria" w:eastAsia="Cambria" w:hAnsi="Cambria"/>
                <w:b w:val="false"/>
                <w:bCs w:val="false"/>
                <w:i w:val="false"/>
                <w:iCs w:val="false"/>
                <w:strike w:val="false"/>
                <w:color w:val="000000"/>
                <w:sz w:val="20"/>
                <w:szCs w:val="20"/>
              </w:rPr>
              <w:t xml:space="preserve">) to avoid exercising jurisdiction Congress conferred.</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Narrowing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CC5500"/>
                <w:sz w:val="24"/>
                <w:szCs w:val="24"/>
              </w:rPr>
              <w:t xml:space="preserve">High</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M-15</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Burden Shifting Without Textual Basis</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defines elements of a claim or defense. The enacted text specifies what must be proven and by whom.</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creates burden-shifting frameworks (e.g., </w:t>
            </w:r>
            <w:r>
              <w:rPr>
                <w:rFonts w:ascii="Cambria" w:cs="Cambria" w:eastAsia="Cambria" w:hAnsi="Cambria"/>
                <w:b w:val="false"/>
                <w:bCs w:val="false"/>
                <w:i/>
                <w:iCs/>
                <w:strike w:val="false"/>
                <w:color w:val="000000"/>
                <w:sz w:val="24"/>
                <w:szCs w:val="24"/>
              </w:rPr>
              <w:t xml:space="preserve">McDonnell Douglas</w:t>
            </w:r>
            <w:r>
              <w:rPr>
                <w:rFonts w:ascii="Cambria" w:cs="Cambria" w:eastAsia="Cambria" w:hAnsi="Cambria"/>
                <w:b w:val="false"/>
                <w:bCs w:val="false"/>
                <w:i w:val="false"/>
                <w:iCs w:val="false"/>
                <w:strike w:val="false"/>
                <w:color w:val="000000"/>
                <w:sz w:val="20"/>
                <w:szCs w:val="20"/>
              </w:rPr>
              <w:t xml:space="preserve">) that restructure the statutory proof requirements into judicially designed stages.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Substitution</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997700"/>
                <w:sz w:val="24"/>
                <w:szCs w:val="24"/>
              </w:rPr>
              <w:t xml:space="preserve">Medium</w:t>
            </w:r>
          </w:p>
        </w:tc>
      </w:tr>
      <w:tr>
        <w:trPr>
          <w:tblHeader w:val="false"/>
        </w:trPr>
        <w:tc>
          <w:tcPr>
            <w:tcW w:type="pct" w:w="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M-16</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Preemption Expansion</w:t>
            </w:r>
          </w:p>
        </w:tc>
        <w:tc>
          <w:tcPr>
            <w:tcW w:type="pct" w:w="2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 contains a specific preemption clause with defined scope, or contains no preemption provision at all.</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 finds implied, field, or conflict preemption that displaces state law beyond the express terms of the statute’s preemption clause (or in the absence of one).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Expansion</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CC5500"/>
                <w:sz w:val="24"/>
                <w:szCs w:val="24"/>
              </w:rPr>
              <w:t xml:space="preserve">High</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5F5F5" w:color="auto" w:val="clear"/>
            <w:tcMar>
              <w:top w:type="dxa" w:w="150"/>
              <w:left w:type="dxa" w:w="210"/>
              <w:bottom w:type="dxa" w:w="150"/>
              <w:right w:type="dxa" w:w="210"/>
            </w:tcMar>
          </w:tcPr>
          <w:p>
            <w:pPr>
              <w:spacing w:after="60" w:line="384" w:lineRule="auto"/>
            </w:pPr>
            <w:r>
              <w:rPr>
                <w:rFonts w:ascii="Cambria" w:cs="Cambria" w:eastAsia="Cambria" w:hAnsi="Cambria"/>
                <w:b/>
                <w:bCs/>
                <w:i w:val="false"/>
                <w:iCs w:val="false"/>
                <w:strike w:val="false"/>
                <w:color w:val="1A2744"/>
                <w:sz w:val="22"/>
                <w:szCs w:val="22"/>
              </w:rPr>
              <w:t xml:space="preserve">LEGEND</w:t>
            </w:r>
          </w:p>
          <w:p>
            <w:pPr>
              <w:spacing w:after="60" w:line="384" w:lineRule="auto"/>
            </w:pPr>
            <w:r>
              <w:rPr>
                <w:rFonts w:ascii="Cambria" w:cs="Cambria" w:eastAsia="Cambria" w:hAnsi="Cambria"/>
                <w:b/>
                <w:bCs/>
                <w:i w:val="false"/>
                <w:iCs w:val="false"/>
                <w:strike w:val="false"/>
                <w:color w:val="000000"/>
                <w:sz w:val="24"/>
                <w:szCs w:val="24"/>
              </w:rPr>
              <w:t xml:space="preserve">Direction of Drift Categories:</w:t>
            </w:r>
          </w:p>
          <w:p>
            <w:pPr>
              <w:spacing w:after="60" w:line="384" w:lineRule="auto"/>
            </w:pPr>
            <w:r>
              <w:rPr>
                <w:rFonts w:ascii="Cambria" w:cs="Cambria" w:eastAsia="Cambria" w:hAnsi="Cambria"/>
                <w:b/>
                <w:bCs/>
                <w:i w:val="false"/>
                <w:iCs w:val="false"/>
                <w:strike w:val="false"/>
                <w:color w:val="000000"/>
                <w:sz w:val="24"/>
                <w:szCs w:val="24"/>
              </w:rPr>
              <w:t xml:space="preserve">Expansion</w:t>
            </w:r>
            <w:r>
              <w:rPr>
                <w:rFonts w:ascii="Cambria" w:cs="Cambria" w:eastAsia="Cambria" w:hAnsi="Cambria"/>
                <w:b w:val="false"/>
                <w:bCs w:val="false"/>
                <w:i w:val="false"/>
                <w:iCs w:val="false"/>
                <w:strike w:val="false"/>
                <w:color w:val="000000"/>
                <w:sz w:val="24"/>
                <w:szCs w:val="24"/>
              </w:rPr>
              <w:t xml:space="preserve"> — The doctrinal construction broadens the statute’s reach beyond its enacted text, covering conduct, parties, or circumstances Congress did not include.</w:t>
            </w:r>
          </w:p>
          <w:p>
            <w:pPr>
              <w:spacing w:after="60" w:line="384" w:lineRule="auto"/>
            </w:pPr>
            <w:r>
              <w:rPr>
                <w:rFonts w:ascii="Cambria" w:cs="Cambria" w:eastAsia="Cambria" w:hAnsi="Cambria"/>
                <w:b/>
                <w:bCs/>
                <w:i w:val="false"/>
                <w:iCs w:val="false"/>
                <w:strike w:val="false"/>
                <w:color w:val="000000"/>
                <w:sz w:val="24"/>
                <w:szCs w:val="24"/>
              </w:rPr>
              <w:t xml:space="preserve">Narrowing</w:t>
            </w:r>
            <w:r>
              <w:rPr>
                <w:rFonts w:ascii="Cambria" w:cs="Cambria" w:eastAsia="Cambria" w:hAnsi="Cambria"/>
                <w:b w:val="false"/>
                <w:bCs w:val="false"/>
                <w:i w:val="false"/>
                <w:iCs w:val="false"/>
                <w:strike w:val="false"/>
                <w:color w:val="000000"/>
                <w:sz w:val="24"/>
                <w:szCs w:val="24"/>
              </w:rPr>
              <w:t xml:space="preserve"> — The doctrinal construction restricts the statute’s reach below its enacted scope, excluding parties, claims, or remedies Congress provided.</w:t>
            </w:r>
          </w:p>
          <w:p>
            <w:pPr>
              <w:spacing w:after="60" w:line="384" w:lineRule="auto"/>
            </w:pPr>
            <w:r>
              <w:rPr>
                <w:rFonts w:ascii="Cambria" w:cs="Cambria" w:eastAsia="Cambria" w:hAnsi="Cambria"/>
                <w:b/>
                <w:bCs/>
                <w:i w:val="false"/>
                <w:iCs w:val="false"/>
                <w:strike w:val="false"/>
                <w:color w:val="000000"/>
                <w:sz w:val="24"/>
                <w:szCs w:val="24"/>
              </w:rPr>
              <w:t xml:space="preserve">Substitution</w:t>
            </w:r>
            <w:r>
              <w:rPr>
                <w:rFonts w:ascii="Cambria" w:cs="Cambria" w:eastAsia="Cambria" w:hAnsi="Cambria"/>
                <w:b w:val="false"/>
                <w:bCs w:val="false"/>
                <w:i w:val="false"/>
                <w:iCs w:val="false"/>
                <w:strike w:val="false"/>
                <w:color w:val="000000"/>
                <w:sz w:val="24"/>
                <w:szCs w:val="24"/>
              </w:rPr>
              <w:t xml:space="preserve"> — The doctrinal construction replaces the statutory rule with a different analytical framework, displacing the enacted standard with a judicially created one.</w:t>
            </w:r>
          </w:p>
          <w:p>
            <w:pPr>
              <w:spacing w:after="60" w:line="384" w:lineRule="auto"/>
            </w:pPr>
            <w:r>
              <w:rPr>
                <w:rFonts w:ascii="Cambria" w:cs="Cambria" w:eastAsia="Cambria" w:hAnsi="Cambria"/>
                <w:b/>
                <w:bCs/>
                <w:i w:val="false"/>
                <w:iCs w:val="false"/>
                <w:strike w:val="false"/>
                <w:color w:val="000000"/>
                <w:sz w:val="24"/>
                <w:szCs w:val="24"/>
              </w:rPr>
              <w:t xml:space="preserve">Inversion</w:t>
            </w:r>
            <w:r>
              <w:rPr>
                <w:rFonts w:ascii="Cambria" w:cs="Cambria" w:eastAsia="Cambria" w:hAnsi="Cambria"/>
                <w:b w:val="false"/>
                <w:bCs w:val="false"/>
                <w:i w:val="false"/>
                <w:iCs w:val="false"/>
                <w:strike w:val="false"/>
                <w:color w:val="000000"/>
                <w:sz w:val="24"/>
                <w:szCs w:val="24"/>
              </w:rPr>
              <w:t xml:space="preserve"> — The doctrinal construction produces a result opposite to the statute’s operative command.</w:t>
            </w:r>
          </w:p>
          <w:p>
            <w:pPr>
              <w:spacing w:after="60" w:line="384" w:lineRule="auto"/>
            </w:pPr>
            <w:r>
              <w:rPr>
                <w:rFonts w:ascii="Cambria" w:cs="Cambria" w:eastAsia="Cambria" w:hAnsi="Cambria"/>
                <w:b/>
                <w:bCs/>
                <w:i w:val="false"/>
                <w:iCs w:val="false"/>
                <w:strike w:val="false"/>
                <w:color w:val="000000"/>
                <w:sz w:val="24"/>
                <w:szCs w:val="24"/>
              </w:rPr>
              <w:t xml:space="preserve">Varies</w:t>
            </w:r>
            <w:r>
              <w:rPr>
                <w:rFonts w:ascii="Cambria" w:cs="Cambria" w:eastAsia="Cambria" w:hAnsi="Cambria"/>
                <w:b w:val="false"/>
                <w:bCs w:val="false"/>
                <w:i w:val="false"/>
                <w:iCs w:val="false"/>
                <w:strike w:val="false"/>
                <w:color w:val="000000"/>
                <w:sz w:val="24"/>
                <w:szCs w:val="24"/>
              </w:rPr>
              <w:t xml:space="preserve"> — The mechanism can produce drift in multiple directions depending on application.</w:t>
            </w:r>
          </w:p>
          <w:p>
            <w:pPr>
              <w:spacing w:after="60" w:line="384" w:lineRule="auto"/>
            </w:pPr>
            <w:r>
              <w:rPr>
                <w:rFonts w:ascii="Cambria" w:cs="Cambria" w:eastAsia="Cambria" w:hAnsi="Cambria"/>
                <w:b/>
                <w:bCs/>
                <w:i w:val="false"/>
                <w:iCs w:val="false"/>
                <w:strike w:val="false"/>
                <w:color w:val="000000"/>
                <w:sz w:val="24"/>
                <w:szCs w:val="24"/>
              </w:rPr>
              <w:t xml:space="preserve">Structural Risk Levels:</w:t>
            </w:r>
          </w:p>
          <w:p>
            <w:pPr>
              <w:spacing w:after="60" w:line="384" w:lineRule="auto"/>
            </w:pPr>
            <w:r>
              <w:rPr>
                <w:rFonts w:ascii="Cambria" w:cs="Cambria" w:eastAsia="Cambria" w:hAnsi="Cambria"/>
                <w:b/>
                <w:bCs/>
                <w:i w:val="false"/>
                <w:iCs w:val="false"/>
                <w:strike w:val="false"/>
                <w:color w:val="336633"/>
                <w:sz w:val="24"/>
                <w:szCs w:val="24"/>
              </w:rPr>
              <w:t xml:space="preserve">Low</w:t>
            </w:r>
            <w:r>
              <w:rPr>
                <w:rFonts w:ascii="Cambria" w:cs="Cambria" w:eastAsia="Cambria" w:hAnsi="Cambria"/>
                <w:b w:val="false"/>
                <w:bCs w:val="false"/>
                <w:i w:val="false"/>
                <w:iCs w:val="false"/>
                <w:strike w:val="false"/>
                <w:color w:val="000000"/>
                <w:sz w:val="24"/>
                <w:szCs w:val="24"/>
              </w:rPr>
              <w:t xml:space="preserve"> — Minimal distortion; the statutory meaning remains substantially intact.</w:t>
            </w:r>
          </w:p>
          <w:p>
            <w:pPr>
              <w:spacing w:after="60" w:line="384" w:lineRule="auto"/>
            </w:pPr>
            <w:r>
              <w:rPr>
                <w:rFonts w:ascii="Cambria" w:cs="Cambria" w:eastAsia="Cambria" w:hAnsi="Cambria"/>
                <w:b/>
                <w:bCs/>
                <w:i w:val="false"/>
                <w:iCs w:val="false"/>
                <w:strike w:val="false"/>
                <w:color w:val="997700"/>
                <w:sz w:val="24"/>
                <w:szCs w:val="24"/>
              </w:rPr>
              <w:t xml:space="preserve">Medium</w:t>
            </w:r>
            <w:r>
              <w:rPr>
                <w:rFonts w:ascii="Cambria" w:cs="Cambria" w:eastAsia="Cambria" w:hAnsi="Cambria"/>
                <w:b w:val="false"/>
                <w:bCs w:val="false"/>
                <w:i w:val="false"/>
                <w:iCs w:val="false"/>
                <w:strike w:val="false"/>
                <w:color w:val="000000"/>
                <w:sz w:val="24"/>
                <w:szCs w:val="24"/>
              </w:rPr>
              <w:t xml:space="preserve"> — Moderate distortion; the statutory meaning is altered but recognizable.</w:t>
            </w:r>
          </w:p>
          <w:p>
            <w:pPr>
              <w:spacing w:after="60" w:line="384" w:lineRule="auto"/>
            </w:pPr>
            <w:r>
              <w:rPr>
                <w:rFonts w:ascii="Cambria" w:cs="Cambria" w:eastAsia="Cambria" w:hAnsi="Cambria"/>
                <w:b/>
                <w:bCs/>
                <w:i w:val="false"/>
                <w:iCs w:val="false"/>
                <w:strike w:val="false"/>
                <w:color w:val="CC5500"/>
                <w:sz w:val="24"/>
                <w:szCs w:val="24"/>
              </w:rPr>
              <w:t xml:space="preserve">High</w:t>
            </w:r>
            <w:r>
              <w:rPr>
                <w:rFonts w:ascii="Cambria" w:cs="Cambria" w:eastAsia="Cambria" w:hAnsi="Cambria"/>
                <w:b w:val="false"/>
                <w:bCs w:val="false"/>
                <w:i w:val="false"/>
                <w:iCs w:val="false"/>
                <w:strike w:val="false"/>
                <w:color w:val="000000"/>
                <w:sz w:val="24"/>
                <w:szCs w:val="24"/>
              </w:rPr>
              <w:t xml:space="preserve"> — Significant distortion; the statutory meaning is materially displaced in important applications.</w:t>
            </w:r>
          </w:p>
          <w:p>
            <w:pPr>
              <w:spacing w:after="60" w:line="384" w:lineRule="auto"/>
            </w:pPr>
            <w:r>
              <w:rPr>
                <w:rFonts w:ascii="Cambria" w:cs="Cambria" w:eastAsia="Cambria" w:hAnsi="Cambria"/>
                <w:b/>
                <w:bCs/>
                <w:i w:val="false"/>
                <w:iCs w:val="false"/>
                <w:strike w:val="false"/>
                <w:color w:val="990000"/>
                <w:sz w:val="24"/>
                <w:szCs w:val="24"/>
              </w:rPr>
              <w:t xml:space="preserve">Critical</w:t>
            </w:r>
            <w:r>
              <w:rPr>
                <w:rFonts w:ascii="Cambria" w:cs="Cambria" w:eastAsia="Cambria" w:hAnsi="Cambria"/>
                <w:b w:val="false"/>
                <w:bCs w:val="false"/>
                <w:i w:val="false"/>
                <w:iCs w:val="false"/>
                <w:strike w:val="false"/>
                <w:color w:val="000000"/>
                <w:sz w:val="24"/>
                <w:szCs w:val="24"/>
              </w:rPr>
              <w:t xml:space="preserve"> — Fundamental distortion; the doctrinal rule has effectively supplanted the statutory command.</w:t>
            </w:r>
          </w:p>
        </w:tc>
      </w:tr>
    </w:tbl>
    <w:p>
      <w:pPr>
        <w:spacing w:after="240" w:before="0"/>
      </w:pPr>
    </w:p>
    <w:p>
      <w:pPr>
        <w:pBdr>
          <w:bottom w:val="single" w:color="CCCCCC" w:sz="6"/>
        </w:pBdr>
        <w:spacing w:after="240" w:before="240"/>
      </w:pPr>
    </w:p>
    <w:p>
      <w:pPr>
        <w:pStyle w:val="Heading1"/>
        <w:spacing w:after="120" w:before="480" w:line="312" w:lineRule="auto"/>
      </w:pPr>
      <w:r>
        <w:rPr>
          <w:rFonts w:ascii="Cambria" w:cs="Cambria" w:eastAsia="Cambria" w:hAnsi="Cambria"/>
          <w:color w:val="1A2744"/>
          <w:sz w:val="48"/>
          <w:szCs w:val="48"/>
        </w:rPr>
        <w:t xml:space="preserve">PART II — DIVERGENCE FLOWCHART: FROM STATUTORY TEXT TO JUDICIAL DOCTRINE</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The following flowchart traces the path by which enacted statutory text is progressively displaced by judicial doctrine. Each stage represents a point at which the original legislative command may be altered, supplemented, or replaced by judge-made construction.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2744" w:sz="6"/>
              <w:left w:val="single" w:color="1A2744" w:sz="6"/>
              <w:bottom w:val="single" w:color="1A2744" w:sz="6"/>
              <w:right w:val="single" w:color="1A2744" w:sz="6"/>
            </w:tcBorders>
            <w:shd w:fill="F5F5F5" w:color="auto" w:val="clear"/>
            <w:tcMar>
              <w:top w:type="dxa" w:w="150"/>
              <w:left w:type="dxa" w:w="210"/>
              <w:bottom w:type="dxa" w:w="150"/>
              <w:right w:type="dxa" w:w="210"/>
            </w:tcMar>
          </w:tcPr>
          <w:p>
            <w:pPr>
              <w:spacing w:after="80" w:line="384" w:lineRule="auto"/>
            </w:pPr>
            <w:r>
              <w:rPr>
                <w:rFonts w:ascii="Cambria" w:cs="Cambria" w:eastAsia="Cambria" w:hAnsi="Cambria"/>
                <w:b/>
                <w:bCs/>
                <w:i w:val="false"/>
                <w:iCs w:val="false"/>
                <w:strike w:val="false"/>
                <w:color w:val="1A2744"/>
                <w:sz w:val="24"/>
                <w:szCs w:val="24"/>
              </w:rPr>
              <w:t xml:space="preserve">█ STAGE 1: ENACTED TEXT</w:t>
            </w:r>
          </w:p>
          <w:p>
            <w:pPr>
              <w:spacing w:after="120" w:line="384" w:lineRule="auto"/>
            </w:pPr>
            <w:r>
              <w:rPr>
                <w:rFonts w:ascii="Cambria" w:cs="Cambria" w:eastAsia="Cambria" w:hAnsi="Cambria"/>
                <w:b/>
                <w:bCs/>
                <w:i w:val="false"/>
                <w:iCs w:val="false"/>
                <w:strike w:val="false"/>
                <w:color w:val="000000"/>
                <w:sz w:val="24"/>
                <w:szCs w:val="24"/>
              </w:rPr>
              <w:t xml:space="preserve">Statutory Text as Enacted by Legislature</w:t>
            </w:r>
          </w:p>
          <w:p>
            <w:pPr>
              <w:spacing w:after="120" w:line="384" w:lineRule="auto"/>
            </w:pPr>
            <w:r>
              <w:rPr>
                <w:rFonts w:ascii="Cambria" w:cs="Cambria" w:eastAsia="Cambria" w:hAnsi="Cambria"/>
                <w:b w:val="false"/>
                <w:bCs w:val="false"/>
                <w:i w:val="false"/>
                <w:iCs w:val="false"/>
                <w:strike w:val="false"/>
                <w:color w:val="000000"/>
                <w:sz w:val="24"/>
                <w:szCs w:val="24"/>
              </w:rPr>
              <w:t xml:space="preserve">Contains: Plain meaning of operative provisions • Defined terms (definitions sections) • Express remedies and enforcement mechanisms • Jurisdictional grants • Scope and applicability provisions • Express preemption clauses (if any)</w:t>
            </w:r>
          </w:p>
          <w:p>
            <w:pPr>
              <w:spacing w:after="120" w:line="384" w:lineRule="auto"/>
            </w:pPr>
            <w:r>
              <w:rPr>
                <w:rFonts w:ascii="Cambria" w:cs="Cambria" w:eastAsia="Cambria" w:hAnsi="Cambria"/>
                <w:b w:val="false"/>
                <w:bCs w:val="false"/>
                <w:i/>
                <w:iCs/>
                <w:strike w:val="false"/>
                <w:color w:val="000000"/>
                <w:sz w:val="24"/>
                <w:szCs w:val="24"/>
              </w:rPr>
              <w:t xml:space="preserve">This is the authoritative legal command. All subsequent stages represent departure.</w:t>
            </w:r>
          </w:p>
        </w:tc>
      </w:tr>
    </w:tbl>
    <w:p>
      <w:pPr>
        <w:spacing w:after="240" w:before="0"/>
      </w:pPr>
    </w:p>
    <w:p>
      <w:pPr>
        <w:spacing w:after="120" w:before="60" w:line="384" w:lineRule="auto"/>
        <w:jc w:val="center"/>
      </w:pPr>
      <w:r>
        <w:rPr>
          <w:rFonts w:ascii="Cambria" w:cs="Cambria" w:eastAsia="Cambria" w:hAnsi="Cambria"/>
          <w:b/>
          <w:bCs/>
          <w:i w:val="false"/>
          <w:iCs w:val="false"/>
          <w:strike w:val="false"/>
          <w:color w:val="1A2744"/>
          <w:sz w:val="32"/>
          <w:szCs w:val="32"/>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2744" w:sz="6"/>
              <w:left w:val="single" w:color="1A2744" w:sz="6"/>
              <w:bottom w:val="single" w:color="1A2744" w:sz="6"/>
              <w:right w:val="single" w:color="1A2744" w:sz="6"/>
            </w:tcBorders>
            <w:shd w:fill="F5F5F5" w:color="auto" w:val="clear"/>
            <w:tcMar>
              <w:top w:type="dxa" w:w="150"/>
              <w:left w:type="dxa" w:w="210"/>
              <w:bottom w:type="dxa" w:w="150"/>
              <w:right w:type="dxa" w:w="210"/>
            </w:tcMar>
          </w:tcPr>
          <w:p>
            <w:pPr>
              <w:spacing w:after="80" w:line="384" w:lineRule="auto"/>
            </w:pPr>
            <w:r>
              <w:rPr>
                <w:rFonts w:ascii="Cambria" w:cs="Cambria" w:eastAsia="Cambria" w:hAnsi="Cambria"/>
                <w:b/>
                <w:bCs/>
                <w:i w:val="false"/>
                <w:iCs w:val="false"/>
                <w:strike w:val="false"/>
                <w:color w:val="1A2744"/>
                <w:sz w:val="24"/>
                <w:szCs w:val="24"/>
              </w:rPr>
              <w:t xml:space="preserve">█ STAGE 2: INITIAL JUDICIAL ENCOUNTER</w:t>
            </w:r>
          </w:p>
          <w:p>
            <w:pPr>
              <w:spacing w:after="120" w:line="384" w:lineRule="auto"/>
            </w:pPr>
            <w:r>
              <w:rPr>
                <w:rFonts w:ascii="Cambria" w:cs="Cambria" w:eastAsia="Cambria" w:hAnsi="Cambria"/>
                <w:b/>
                <w:bCs/>
                <w:i w:val="false"/>
                <w:iCs w:val="false"/>
                <w:strike w:val="false"/>
                <w:color w:val="000000"/>
                <w:sz w:val="24"/>
                <w:szCs w:val="24"/>
              </w:rPr>
              <w:t xml:space="preserve">Court Receives Case Requiring Statutory Application</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2744" w:sz="6"/>
              <w:left w:val="single" w:color="1A2744" w:sz="6"/>
              <w:bottom w:val="single" w:color="1A2744" w:sz="6"/>
              <w:right w:val="single" w:color="1A2744" w:sz="6"/>
            </w:tcBorders>
            <w:shd w:fill="E8EEF5" w:color="auto" w:val="clear"/>
            <w:tcMar>
              <w:top w:type="dxa" w:w="120"/>
              <w:left w:type="dxa" w:w="210"/>
              <w:bottom w:type="dxa" w:w="120"/>
              <w:right w:type="dxa" w:w="210"/>
            </w:tcMar>
          </w:tcPr>
          <w:p>
            <w:pPr>
              <w:spacing w:after="120" w:line="408" w:lineRule="auto"/>
            </w:pPr>
            <w:r>
              <w:t xml:space="preserve">DECISION POINT: Is the statutory text clear and unambiguous?</w:t>
            </w:r>
          </w:p>
        </w:tc>
      </w:tr>
    </w:tbl>
    <w:p>
      <w:pPr>
        <w:spacing w:after="24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5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 YES — Text Is Clear</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4"/>
                <w:szCs w:val="24"/>
              </w:rPr>
              <w:t xml:space="preserve">→ Apply plain meaning (textualist default).</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4"/>
                <w:szCs w:val="24"/>
              </w:rPr>
              <w:t xml:space="preserve">→ Statutory command controls.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But even here: Substantive canon override? Court may invoke constitutional avoidance, rule of lenity, or clear-statement rules to depart from plain text. If so → proceed to Stage 3.</w:t>
            </w:r>
          </w:p>
        </w:tc>
        <w:tc>
          <w:tcPr>
            <w:tcW w:type="pct" w:w="4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 NO — Text Is Deemed Ambiguous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4"/>
                <w:szCs w:val="24"/>
              </w:rPr>
              <w:t xml:space="preserve">→ Court determines that statutory language admits of more than one reasonable reading.</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4"/>
                <w:szCs w:val="24"/>
              </w:rPr>
              <w:t xml:space="preserve">→ Proceed to Stage 3: Interpretive Intervention.</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Note: The finding of “ambiguity” is itself a judicial act that may be contested.</w:t>
            </w:r>
          </w:p>
        </w:tc>
      </w:tr>
    </w:tbl>
    <w:p>
      <w:pPr>
        <w:spacing w:after="200" w:before="0"/>
      </w:pPr>
    </w:p>
    <w:p>
      <w:pPr>
        <w:spacing w:after="120" w:before="60" w:line="384" w:lineRule="auto"/>
        <w:jc w:val="center"/>
      </w:pPr>
      <w:r>
        <w:rPr>
          <w:rFonts w:ascii="Cambria" w:cs="Cambria" w:eastAsia="Cambria" w:hAnsi="Cambria"/>
          <w:b/>
          <w:bCs/>
          <w:i w:val="false"/>
          <w:iCs w:val="false"/>
          <w:strike w:val="false"/>
          <w:color w:val="1A2744"/>
          <w:sz w:val="32"/>
          <w:szCs w:val="32"/>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2744" w:sz="6"/>
              <w:left w:val="single" w:color="1A2744" w:sz="6"/>
              <w:bottom w:val="single" w:color="1A2744" w:sz="6"/>
              <w:right w:val="single" w:color="1A2744" w:sz="6"/>
            </w:tcBorders>
            <w:shd w:fill="F5F5F5" w:color="auto" w:val="clear"/>
            <w:tcMar>
              <w:top w:type="dxa" w:w="150"/>
              <w:left w:type="dxa" w:w="210"/>
              <w:bottom w:type="dxa" w:w="150"/>
              <w:right w:type="dxa" w:w="210"/>
            </w:tcMar>
          </w:tcPr>
          <w:p>
            <w:pPr>
              <w:spacing w:after="80" w:line="384" w:lineRule="auto"/>
            </w:pPr>
            <w:r>
              <w:rPr>
                <w:rFonts w:ascii="Cambria" w:cs="Cambria" w:eastAsia="Cambria" w:hAnsi="Cambria"/>
                <w:b/>
                <w:bCs/>
                <w:i w:val="false"/>
                <w:iCs w:val="false"/>
                <w:strike w:val="false"/>
                <w:color w:val="1A2744"/>
                <w:sz w:val="24"/>
                <w:szCs w:val="24"/>
              </w:rPr>
              <w:t xml:space="preserve">█ STAGE 3: INTERPRETIVE INTERVENTION</w:t>
            </w:r>
          </w:p>
          <w:p>
            <w:pPr>
              <w:spacing w:after="120" w:line="384" w:lineRule="auto"/>
            </w:pPr>
            <w:r>
              <w:rPr>
                <w:rFonts w:ascii="Cambria" w:cs="Cambria" w:eastAsia="Cambria" w:hAnsi="Cambria"/>
                <w:b/>
                <w:bCs/>
                <w:i w:val="false"/>
                <w:iCs w:val="false"/>
                <w:strike w:val="false"/>
                <w:color w:val="000000"/>
                <w:sz w:val="24"/>
                <w:szCs w:val="24"/>
              </w:rPr>
              <w:t xml:space="preserve">Court Selects Interpretive Method</w:t>
            </w:r>
          </w:p>
          <w:p>
            <w:pPr>
              <w:spacing w:after="120" w:line="384" w:lineRule="auto"/>
            </w:pPr>
            <w:r>
              <w:rPr>
                <w:rFonts w:ascii="Cambria" w:cs="Cambria" w:eastAsia="Cambria" w:hAnsi="Cambria"/>
                <w:b w:val="false"/>
                <w:bCs w:val="false"/>
                <w:i w:val="false"/>
                <w:iCs w:val="false"/>
                <w:strike w:val="false"/>
                <w:color w:val="000000"/>
                <w:sz w:val="24"/>
                <w:szCs w:val="24"/>
              </w:rPr>
              <w:t xml:space="preserve">At this stage, the court chooses among competing interpretive approaches. Each carries distinct risks of divergence from statutory text:</w:t>
            </w:r>
          </w:p>
        </w:tc>
      </w:tr>
    </w:tbl>
    <w:p>
      <w:pPr>
        <w:spacing w:after="240" w:before="0"/>
      </w:pPr>
    </w:p>
    <w:p>
      <w:pPr>
        <w:spacing w:after="120" w:before="60" w:line="384" w:lineRule="auto"/>
      </w:pPr>
      <w:r>
        <w:rPr>
          <w:rFonts w:ascii="Cambria" w:cs="Cambria" w:eastAsia="Cambria" w:hAnsi="Cambria"/>
          <w:b/>
          <w:bCs/>
          <w:i w:val="false"/>
          <w:iCs w:val="false"/>
          <w:strike w:val="false"/>
          <w:color w:val="000000"/>
          <w:sz w:val="24"/>
          <w:szCs w:val="24"/>
        </w:rPr>
        <w:t xml:space="preserve">Branch A: Purposive Analysis</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 Court consults legislative history: committee reports, floor statements, sponsor remarks, conference reports.</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 Court identifies an inferred “purpose” behind the statute.</w:t>
      </w:r>
    </w:p>
    <w:p>
      <w:pPr>
        <w:spacing w:after="120" w:before="60" w:line="384" w:lineRule="auto"/>
      </w:pPr>
      <w:r>
        <w:rPr>
          <w:rFonts w:ascii="Cambria" w:cs="Cambria" w:eastAsia="Cambria" w:hAnsi="Cambria"/>
          <w:b w:val="false"/>
          <w:bCs w:val="false"/>
          <w:i/>
          <w:iCs/>
          <w:strike w:val="false"/>
          <w:color w:val="000000"/>
          <w:sz w:val="24"/>
          <w:szCs w:val="24"/>
        </w:rPr>
        <w:t xml:space="preserve">Risk: Inferred purpose may override plain text. Legislative history is not enacted law and may reflect only the views of individual legislators, not the body that voted. (See M-08: Purposive Override.)</w:t>
      </w:r>
    </w:p>
    <w:p>
      <w:pPr>
        <w:pBdr>
          <w:bottom w:val="single" w:color="1A2744" w:sz="6"/>
        </w:pBdr>
        <w:spacing w:after="240" w:before="240"/>
      </w:pPr>
    </w:p>
    <w:p>
      <w:pPr>
        <w:spacing w:after="120" w:before="60" w:line="384" w:lineRule="auto"/>
      </w:pPr>
      <w:r>
        <w:rPr>
          <w:rFonts w:ascii="Cambria" w:cs="Cambria" w:eastAsia="Cambria" w:hAnsi="Cambria"/>
          <w:b/>
          <w:bCs/>
          <w:i w:val="false"/>
          <w:iCs w:val="false"/>
          <w:strike w:val="false"/>
          <w:color w:val="000000"/>
          <w:sz w:val="24"/>
          <w:szCs w:val="24"/>
        </w:rPr>
        <w:t xml:space="preserve">Branch B: Deference Framework</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 Court identifies an agency interpretation of the statutory provision (regulation, guidance, adjudication).</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 Court applies </w:t>
      </w:r>
      <w:r>
        <w:rPr>
          <w:rFonts w:ascii="Cambria" w:cs="Cambria" w:eastAsia="Cambria" w:hAnsi="Cambria"/>
          <w:b w:val="false"/>
          <w:bCs w:val="false"/>
          <w:i/>
          <w:iCs/>
          <w:strike w:val="false"/>
          <w:color w:val="000000"/>
          <w:sz w:val="24"/>
          <w:szCs w:val="24"/>
        </w:rPr>
        <w:t xml:space="preserve">Chevron</w:t>
      </w:r>
      <w:r>
        <w:rPr>
          <w:rFonts w:ascii="Cambria" w:cs="Cambria" w:eastAsia="Cambria" w:hAnsi="Cambria"/>
          <w:b w:val="false"/>
          <w:bCs w:val="false"/>
          <w:i w:val="false"/>
          <w:iCs w:val="false"/>
          <w:strike w:val="false"/>
          <w:color w:val="000000"/>
          <w:sz w:val="24"/>
          <w:szCs w:val="24"/>
        </w:rPr>
        <w:t xml:space="preserve"> step-two deference, </w:t>
      </w:r>
      <w:r>
        <w:rPr>
          <w:rFonts w:ascii="Cambria" w:cs="Cambria" w:eastAsia="Cambria" w:hAnsi="Cambria"/>
          <w:b w:val="false"/>
          <w:bCs w:val="false"/>
          <w:i/>
          <w:iCs/>
          <w:strike w:val="false"/>
          <w:color w:val="000000"/>
          <w:sz w:val="24"/>
          <w:szCs w:val="24"/>
        </w:rPr>
        <w:t xml:space="preserve">Auer/Seminole Rock</w:t>
      </w:r>
      <w:r>
        <w:rPr>
          <w:rFonts w:ascii="Cambria" w:cs="Cambria" w:eastAsia="Cambria" w:hAnsi="Cambria"/>
          <w:b w:val="false"/>
          <w:bCs w:val="false"/>
          <w:i w:val="false"/>
          <w:iCs w:val="false"/>
          <w:strike w:val="false"/>
          <w:color w:val="000000"/>
          <w:sz w:val="24"/>
          <w:szCs w:val="24"/>
        </w:rPr>
        <w:t xml:space="preserve"> deference, or </w:t>
      </w:r>
      <w:r>
        <w:rPr>
          <w:rFonts w:ascii="Cambria" w:cs="Cambria" w:eastAsia="Cambria" w:hAnsi="Cambria"/>
          <w:b w:val="false"/>
          <w:bCs w:val="false"/>
          <w:i/>
          <w:iCs/>
          <w:strike w:val="false"/>
          <w:color w:val="000000"/>
          <w:sz w:val="24"/>
          <w:szCs w:val="24"/>
        </w:rPr>
        <w:t xml:space="preserve">Skidmore</w:t>
      </w:r>
      <w:r>
        <w:rPr>
          <w:rFonts w:ascii="Cambria" w:cs="Cambria" w:eastAsia="Cambria" w:hAnsi="Cambria"/>
          <w:b w:val="false"/>
          <w:bCs w:val="false"/>
          <w:i w:val="false"/>
          <w:iCs w:val="false"/>
          <w:strike w:val="false"/>
          <w:color w:val="000000"/>
          <w:sz w:val="24"/>
          <w:szCs w:val="24"/>
        </w:rPr>
        <w:t xml:space="preserve"> persuasiveness.</w:t>
      </w:r>
    </w:p>
    <w:p>
      <w:pPr>
        <w:spacing w:after="120" w:before="60" w:line="384" w:lineRule="auto"/>
      </w:pPr>
      <w:r>
        <w:rPr>
          <w:rFonts w:ascii="Cambria" w:cs="Cambria" w:eastAsia="Cambria" w:hAnsi="Cambria"/>
          <w:b w:val="false"/>
          <w:bCs w:val="false"/>
          <w:i/>
          <w:iCs/>
          <w:strike w:val="false"/>
          <w:color w:val="000000"/>
          <w:sz w:val="24"/>
          <w:szCs w:val="24"/>
        </w:rPr>
        <w:t xml:space="preserve">Risk: Agency meaning is substituted for statutory meaning. Executive branch effectively exercises legislative power through judicial endorsement. Note: </w:t>
      </w:r>
      <w:r>
        <w:rPr>
          <w:rFonts w:ascii="Cambria" w:cs="Cambria" w:eastAsia="Cambria" w:hAnsi="Cambria"/>
          <w:b w:val="false"/>
          <w:bCs w:val="false"/>
          <w:i w:val="false"/>
          <w:iCs w:val="false"/>
          <w:strike w:val="false"/>
          <w:color w:val="990000"/>
          <w:sz w:val="24"/>
          <w:szCs w:val="24"/>
        </w:rPr>
        <w:t xml:space="preserve">Loper Bright Enterprises v. Raimondo</w:t>
      </w:r>
      <w:r>
        <w:rPr>
          <w:rFonts w:ascii="Cambria" w:cs="Cambria" w:eastAsia="Cambria" w:hAnsi="Cambria"/>
          <w:b w:val="false"/>
          <w:bCs w:val="false"/>
          <w:i/>
          <w:iCs/>
          <w:strike w:val="false"/>
          <w:color w:val="000000"/>
          <w:sz w:val="24"/>
          <w:szCs w:val="24"/>
        </w:rPr>
        <w:t xml:space="preserve"> (2024) overruled </w:t>
      </w:r>
      <w:r>
        <w:rPr>
          <w:rFonts w:ascii="Cambria" w:cs="Cambria" w:eastAsia="Cambria" w:hAnsi="Cambria"/>
          <w:b w:val="false"/>
          <w:bCs w:val="false"/>
          <w:i w:val="false"/>
          <w:iCs w:val="false"/>
          <w:strike w:val="false"/>
          <w:color w:val="990000"/>
          <w:sz w:val="24"/>
          <w:szCs w:val="24"/>
        </w:rPr>
        <w:t xml:space="preserve">Chevron</w:t>
      </w:r>
      <w:r>
        <w:rPr>
          <w:rFonts w:ascii="Cambria" w:cs="Cambria" w:eastAsia="Cambria" w:hAnsi="Cambria"/>
          <w:b w:val="false"/>
          <w:bCs w:val="false"/>
          <w:i/>
          <w:iCs/>
          <w:strike w:val="false"/>
          <w:color w:val="000000"/>
          <w:sz w:val="24"/>
          <w:szCs w:val="24"/>
        </w:rPr>
        <w:t xml:space="preserve"> deference, but pre-existing applications persist. (See M-07: Deference Delegation.)</w:t>
      </w:r>
    </w:p>
    <w:p>
      <w:pPr>
        <w:pBdr>
          <w:bottom w:val="single" w:color="1A2744" w:sz="6"/>
        </w:pBdr>
        <w:spacing w:after="240" w:before="240"/>
      </w:pPr>
    </w:p>
    <w:p>
      <w:pPr>
        <w:spacing w:after="120" w:before="60" w:line="384" w:lineRule="auto"/>
      </w:pPr>
      <w:r>
        <w:rPr>
          <w:rFonts w:ascii="Cambria" w:cs="Cambria" w:eastAsia="Cambria" w:hAnsi="Cambria"/>
          <w:b/>
          <w:bCs/>
          <w:i w:val="false"/>
          <w:iCs w:val="false"/>
          <w:strike w:val="false"/>
          <w:color w:val="000000"/>
          <w:sz w:val="24"/>
          <w:szCs w:val="24"/>
        </w:rPr>
        <w:t xml:space="preserve">Branch C: Canon Application</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 Court applies semantic canons (</w:t>
      </w:r>
      <w:r>
        <w:rPr>
          <w:rFonts w:ascii="Cambria" w:cs="Cambria" w:eastAsia="Cambria" w:hAnsi="Cambria"/>
          <w:b w:val="false"/>
          <w:bCs w:val="false"/>
          <w:i/>
          <w:iCs/>
          <w:strike w:val="false"/>
          <w:color w:val="000000"/>
          <w:sz w:val="24"/>
          <w:szCs w:val="24"/>
        </w:rPr>
        <w:t xml:space="preserve">noscitur a sociis</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ejusdem generis</w:t>
      </w:r>
      <w:r>
        <w:rPr>
          <w:rFonts w:ascii="Cambria" w:cs="Cambria" w:eastAsia="Cambria" w:hAnsi="Cambria"/>
          <w:b w:val="false"/>
          <w:bCs w:val="false"/>
          <w:i w:val="false"/>
          <w:iCs w:val="false"/>
          <w:strike w:val="false"/>
          <w:color w:val="000000"/>
          <w:sz w:val="24"/>
          <w:szCs w:val="24"/>
        </w:rPr>
        <w:t xml:space="preserve">, expressio unius) or substantive canons (rule of lenity, constitutional avoidance, clear-statement rules, federalism canons).</w:t>
      </w:r>
    </w:p>
    <w:p>
      <w:pPr>
        <w:spacing w:after="120" w:before="60" w:line="384" w:lineRule="auto"/>
      </w:pPr>
      <w:r>
        <w:rPr>
          <w:rFonts w:ascii="Cambria" w:cs="Cambria" w:eastAsia="Cambria" w:hAnsi="Cambria"/>
          <w:b w:val="false"/>
          <w:bCs w:val="false"/>
          <w:i/>
          <w:iCs/>
          <w:strike w:val="false"/>
          <w:color w:val="000000"/>
          <w:sz w:val="24"/>
          <w:szCs w:val="24"/>
        </w:rPr>
        <w:t xml:space="preserve">Risk: Substantive canons may narrow or expand text beyond enacted scope. A canon is a judge-made presumption, not an enacted rule. When applied to determinate text, the canon overrides rather than illuminates. (See M-12: Canon Overreach.)</w:t>
      </w:r>
    </w:p>
    <w:p>
      <w:pPr>
        <w:pBdr>
          <w:bottom w:val="single" w:color="1A2744" w:sz="6"/>
        </w:pBdr>
        <w:spacing w:after="240" w:before="240"/>
      </w:pPr>
    </w:p>
    <w:p>
      <w:pPr>
        <w:spacing w:after="120" w:before="60" w:line="384" w:lineRule="auto"/>
      </w:pPr>
      <w:r>
        <w:rPr>
          <w:rFonts w:ascii="Cambria" w:cs="Cambria" w:eastAsia="Cambria" w:hAnsi="Cambria"/>
          <w:b/>
          <w:bCs/>
          <w:i w:val="false"/>
          <w:iCs w:val="false"/>
          <w:strike w:val="false"/>
          <w:color w:val="000000"/>
          <w:sz w:val="24"/>
          <w:szCs w:val="24"/>
        </w:rPr>
        <w:t xml:space="preserve">Branch D: Balancing Test Construction</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 Court determines that the statutory rule requires “context-sensitive application.”</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 Court constructs a multi-factor test (typically three to five factors) to govern future applications.</w:t>
      </w:r>
    </w:p>
    <w:p>
      <w:pPr>
        <w:spacing w:after="120" w:before="60" w:line="384" w:lineRule="auto"/>
      </w:pPr>
      <w:r>
        <w:rPr>
          <w:rFonts w:ascii="Cambria" w:cs="Cambria" w:eastAsia="Cambria" w:hAnsi="Cambria"/>
          <w:b w:val="false"/>
          <w:bCs w:val="false"/>
          <w:i/>
          <w:iCs/>
          <w:strike w:val="false"/>
          <w:color w:val="000000"/>
          <w:sz w:val="24"/>
          <w:szCs w:val="24"/>
        </w:rPr>
        <w:t xml:space="preserve">Risk: The bright-line statutory rule is replaced by a discretionary standard. Predictability is lost. The factors are judicially selected, not legislatively enacted. (See M-02: Balancing Test Substitution.)</w:t>
      </w:r>
    </w:p>
    <w:p>
      <w:pPr>
        <w:pBdr>
          <w:bottom w:val="single" w:color="1A2744" w:sz="6"/>
        </w:pBdr>
        <w:spacing w:after="240" w:before="240"/>
      </w:pPr>
    </w:p>
    <w:p>
      <w:pPr>
        <w:spacing w:after="120" w:before="60" w:line="384" w:lineRule="auto"/>
        <w:jc w:val="center"/>
      </w:pPr>
      <w:r>
        <w:rPr>
          <w:rFonts w:ascii="Cambria" w:cs="Cambria" w:eastAsia="Cambria" w:hAnsi="Cambria"/>
          <w:b/>
          <w:bCs/>
          <w:i w:val="false"/>
          <w:iCs w:val="false"/>
          <w:strike w:val="false"/>
          <w:color w:val="1A2744"/>
          <w:sz w:val="32"/>
          <w:szCs w:val="32"/>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2744" w:sz="6"/>
              <w:left w:val="single" w:color="1A2744" w:sz="6"/>
              <w:bottom w:val="single" w:color="1A2744" w:sz="6"/>
              <w:right w:val="single" w:color="1A2744" w:sz="6"/>
            </w:tcBorders>
            <w:shd w:fill="F5F5F5" w:color="auto" w:val="clear"/>
            <w:tcMar>
              <w:top w:type="dxa" w:w="150"/>
              <w:left w:type="dxa" w:w="210"/>
              <w:bottom w:type="dxa" w:w="150"/>
              <w:right w:type="dxa" w:w="210"/>
            </w:tcMar>
          </w:tcPr>
          <w:p>
            <w:pPr>
              <w:spacing w:after="80" w:line="384" w:lineRule="auto"/>
            </w:pPr>
            <w:r>
              <w:rPr>
                <w:rFonts w:ascii="Cambria" w:cs="Cambria" w:eastAsia="Cambria" w:hAnsi="Cambria"/>
                <w:b/>
                <w:bCs/>
                <w:i w:val="false"/>
                <w:iCs w:val="false"/>
                <w:strike w:val="false"/>
                <w:color w:val="1A2744"/>
                <w:sz w:val="24"/>
                <w:szCs w:val="24"/>
              </w:rPr>
              <w:t xml:space="preserve">█ STAGE 4: DOCTRINAL CRYSTALLIZATION</w:t>
            </w:r>
          </w:p>
          <w:p>
            <w:pPr>
              <w:spacing w:after="120" w:line="384" w:lineRule="auto"/>
            </w:pPr>
            <w:r>
              <w:rPr>
                <w:rFonts w:ascii="Cambria" w:cs="Cambria" w:eastAsia="Cambria" w:hAnsi="Cambria"/>
                <w:b/>
                <w:bCs/>
                <w:i w:val="false"/>
                <w:iCs w:val="false"/>
                <w:strike w:val="false"/>
                <w:color w:val="000000"/>
                <w:sz w:val="24"/>
                <w:szCs w:val="24"/>
              </w:rPr>
              <w:t xml:space="preserve">Judicial Rule Becomes Precedent</w:t>
            </w:r>
          </w:p>
          <w:p>
            <w:pPr>
              <w:spacing w:after="120" w:line="384" w:lineRule="auto"/>
            </w:pPr>
            <w:r>
              <w:rPr>
                <w:rFonts w:ascii="Cambria" w:cs="Cambria" w:eastAsia="Cambria" w:hAnsi="Cambria"/>
                <w:b w:val="false"/>
                <w:bCs w:val="false"/>
                <w:i w:val="false"/>
                <w:iCs w:val="false"/>
                <w:strike w:val="false"/>
                <w:color w:val="000000"/>
                <w:sz w:val="24"/>
                <w:szCs w:val="24"/>
              </w:rPr>
              <w:t xml:space="preserve">Mechanisms of crystallization:</w:t>
            </w:r>
          </w:p>
          <w:p>
            <w:pPr>
              <w:spacing w:after="100" w:line="408" w:lineRule="auto"/>
              <w:ind w:left="240"/>
            </w:pPr>
            <w:r>
              <w:t xml:space="preserve">•  </w:t>
            </w:r>
            <w:r>
              <w:rPr>
                <w:rFonts w:ascii="Cambria" w:cs="Cambria" w:eastAsia="Cambria" w:hAnsi="Cambria"/>
                <w:b w:val="false"/>
                <w:bCs w:val="false"/>
                <w:i/>
                <w:iCs/>
                <w:strike w:val="false"/>
                <w:color w:val="000000"/>
                <w:sz w:val="24"/>
                <w:szCs w:val="24"/>
              </w:rPr>
              <w:t xml:space="preserve">Stare decisis</w:t>
            </w:r>
            <w:r>
              <w:rPr>
                <w:rFonts w:ascii="Cambria" w:cs="Cambria" w:eastAsia="Cambria" w:hAnsi="Cambria"/>
                <w:b w:val="false"/>
                <w:bCs w:val="false"/>
                <w:i w:val="false"/>
                <w:iCs w:val="false"/>
                <w:strike w:val="false"/>
                <w:color w:val="000000"/>
                <w:sz w:val="24"/>
                <w:szCs w:val="24"/>
              </w:rPr>
              <w:t xml:space="preserve"> — The interpreting court’s construction binds future panels within the jurisdiction.</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4"/>
                <w:szCs w:val="24"/>
              </w:rPr>
              <w:t xml:space="preserve">Circuit adoption — Other circuits adopt the construction, creating a doctrinal consensus.</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4"/>
                <w:szCs w:val="24"/>
              </w:rPr>
              <w:t xml:space="preserve">Supreme Court endorsement — The construction is ratified at the highest level, acquiring near-irrebuttable force.</w:t>
            </w:r>
          </w:p>
          <w:p>
            <w:pPr>
              <w:spacing w:after="120" w:line="384" w:lineRule="auto"/>
            </w:pPr>
            <w:r>
              <w:rPr>
                <w:rFonts w:ascii="Cambria" w:cs="Cambria" w:eastAsia="Cambria" w:hAnsi="Cambria"/>
                <w:b/>
                <w:bCs/>
                <w:i w:val="false"/>
                <w:iCs w:val="false"/>
                <w:strike w:val="false"/>
                <w:color w:val="000000"/>
                <w:sz w:val="24"/>
                <w:szCs w:val="24"/>
              </w:rPr>
              <w:t xml:space="preserve">Result:</w:t>
            </w:r>
            <w:r>
              <w:rPr>
                <w:rFonts w:ascii="Cambria" w:cs="Cambria" w:eastAsia="Cambria" w:hAnsi="Cambria"/>
                <w:b w:val="false"/>
                <w:bCs w:val="false"/>
                <w:i w:val="false"/>
                <w:iCs w:val="false"/>
                <w:strike w:val="false"/>
                <w:color w:val="000000"/>
                <w:sz w:val="24"/>
                <w:szCs w:val="24"/>
              </w:rPr>
              <w:t xml:space="preserve"> The original statutory meaning is displaced by a doctrinal construction that now carries the force of precedent. Future courts apply the doctrine, not the statute.</w:t>
            </w:r>
          </w:p>
        </w:tc>
      </w:tr>
    </w:tbl>
    <w:p>
      <w:pPr>
        <w:spacing w:after="240" w:before="0"/>
      </w:pPr>
    </w:p>
    <w:p>
      <w:pPr>
        <w:spacing w:after="120" w:before="60" w:line="384" w:lineRule="auto"/>
        <w:jc w:val="center"/>
      </w:pPr>
      <w:r>
        <w:rPr>
          <w:rFonts w:ascii="Cambria" w:cs="Cambria" w:eastAsia="Cambria" w:hAnsi="Cambria"/>
          <w:b/>
          <w:bCs/>
          <w:i w:val="false"/>
          <w:iCs w:val="false"/>
          <w:strike w:val="false"/>
          <w:color w:val="1A2744"/>
          <w:sz w:val="32"/>
          <w:szCs w:val="32"/>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2744" w:sz="6"/>
              <w:left w:val="single" w:color="1A2744" w:sz="6"/>
              <w:bottom w:val="single" w:color="1A2744" w:sz="6"/>
              <w:right w:val="single" w:color="1A2744" w:sz="6"/>
            </w:tcBorders>
            <w:shd w:fill="F5F5F5" w:color="auto" w:val="clear"/>
            <w:tcMar>
              <w:top w:type="dxa" w:w="150"/>
              <w:left w:type="dxa" w:w="210"/>
              <w:bottom w:type="dxa" w:w="150"/>
              <w:right w:type="dxa" w:w="210"/>
            </w:tcMar>
          </w:tcPr>
          <w:p>
            <w:pPr>
              <w:spacing w:after="80" w:line="384" w:lineRule="auto"/>
            </w:pPr>
            <w:r>
              <w:rPr>
                <w:rFonts w:ascii="Cambria" w:cs="Cambria" w:eastAsia="Cambria" w:hAnsi="Cambria"/>
                <w:b/>
                <w:bCs/>
                <w:i w:val="false"/>
                <w:iCs w:val="false"/>
                <w:strike w:val="false"/>
                <w:color w:val="1A2744"/>
                <w:sz w:val="24"/>
                <w:szCs w:val="24"/>
              </w:rPr>
              <w:t xml:space="preserve">█ STAGE 5: DIVERGENCE ENTRENCHMENT</w:t>
            </w:r>
          </w:p>
          <w:p>
            <w:pPr>
              <w:spacing w:after="120" w:line="384" w:lineRule="auto"/>
            </w:pPr>
            <w:r>
              <w:rPr>
                <w:rFonts w:ascii="Cambria" w:cs="Cambria" w:eastAsia="Cambria" w:hAnsi="Cambria"/>
                <w:b/>
                <w:bCs/>
                <w:i w:val="false"/>
                <w:iCs w:val="false"/>
                <w:strike w:val="false"/>
                <w:color w:val="000000"/>
                <w:sz w:val="24"/>
                <w:szCs w:val="24"/>
              </w:rPr>
              <w:t xml:space="preserve">Doctrinal Rule Controls Future Cases</w:t>
            </w:r>
          </w:p>
          <w:p>
            <w:pPr>
              <w:spacing w:after="120" w:line="384" w:lineRule="auto"/>
            </w:pPr>
            <w:r>
              <w:rPr>
                <w:rFonts w:ascii="Cambria" w:cs="Cambria" w:eastAsia="Cambria" w:hAnsi="Cambria"/>
                <w:b w:val="false"/>
                <w:bCs w:val="false"/>
                <w:i w:val="false"/>
                <w:iCs w:val="false"/>
                <w:strike w:val="false"/>
                <w:color w:val="000000"/>
                <w:sz w:val="24"/>
                <w:szCs w:val="24"/>
              </w:rPr>
              <w:t xml:space="preserve">Consequences of entrenchment:</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Textual citation without textual application.</w:t>
            </w:r>
            <w:r>
              <w:rPr>
                <w:rFonts w:ascii="Cambria" w:cs="Cambria" w:eastAsia="Cambria" w:hAnsi="Cambria"/>
                <w:b w:val="false"/>
                <w:bCs w:val="false"/>
                <w:i w:val="false"/>
                <w:iCs w:val="false"/>
                <w:strike w:val="false"/>
                <w:color w:val="000000"/>
                <w:sz w:val="24"/>
                <w:szCs w:val="24"/>
              </w:rPr>
              <w:t xml:space="preserve"> Courts cite the statutory provision but apply the doctrinal gloss. The statute is invoked for authority; the doctrine is applied for decision.</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Precedential self-reinforcement.</w:t>
            </w:r>
            <w:r>
              <w:rPr>
                <w:rFonts w:ascii="Cambria" w:cs="Cambria" w:eastAsia="Cambria" w:hAnsi="Cambria"/>
                <w:b w:val="false"/>
                <w:bCs w:val="false"/>
                <w:i w:val="false"/>
                <w:iCs w:val="false"/>
                <w:strike w:val="false"/>
                <w:color w:val="000000"/>
                <w:sz w:val="24"/>
                <w:szCs w:val="24"/>
              </w:rPr>
              <w:t xml:space="preserve"> Later courts follow doctrine, not statute. Each subsequent application strengthens the doctrinal rule and distances the law from its enacted source.</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Legislative correction becomes politically difficult.</w:t>
            </w:r>
            <w:r>
              <w:rPr>
                <w:rFonts w:ascii="Cambria" w:cs="Cambria" w:eastAsia="Cambria" w:hAnsi="Cambria"/>
                <w:b w:val="false"/>
                <w:bCs w:val="false"/>
                <w:i w:val="false"/>
                <w:iCs w:val="false"/>
                <w:strike w:val="false"/>
                <w:color w:val="000000"/>
                <w:sz w:val="24"/>
                <w:szCs w:val="24"/>
              </w:rPr>
              <w:t xml:space="preserve"> Congress must overcome inertia, filibuster rules, and political obstacles to amend a statute that the courts have already “interpreted.” The judicial construction acquires quasi-legislative permanence.</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Practitioner reliance shifts.</w:t>
            </w:r>
            <w:r>
              <w:rPr>
                <w:rFonts w:ascii="Cambria" w:cs="Cambria" w:eastAsia="Cambria" w:hAnsi="Cambria"/>
                <w:b w:val="false"/>
                <w:bCs w:val="false"/>
                <w:i w:val="false"/>
                <w:iCs w:val="false"/>
                <w:strike w:val="false"/>
                <w:color w:val="000000"/>
                <w:sz w:val="24"/>
                <w:szCs w:val="24"/>
              </w:rPr>
              <w:t xml:space="preserve"> Lawyers advise clients based on doctrinal rules rather than statutory text, completing the displacement cycle.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2744" w:sz="6"/>
              <w:left w:val="single" w:color="1A2744" w:sz="6"/>
              <w:bottom w:val="single" w:color="1A2744" w:sz="6"/>
              <w:right w:val="single" w:color="1A2744" w:sz="6"/>
            </w:tcBorders>
            <w:shd w:fill="F5F5F5" w:color="auto" w:val="clear"/>
            <w:tcMar>
              <w:top w:type="dxa" w:w="180"/>
              <w:left w:type="dxa" w:w="180"/>
              <w:bottom w:type="dxa" w:w="180"/>
              <w:right w:type="dxa" w:w="180"/>
            </w:tcMar>
          </w:tcPr>
          <w:p>
            <w:pPr>
              <w:spacing w:after="60" w:line="384" w:lineRule="auto"/>
            </w:pPr>
            <w:r>
              <w:rPr>
                <w:rFonts w:ascii="Cambria" w:cs="Cambria" w:eastAsia="Cambria" w:hAnsi="Cambria"/>
                <w:b/>
                <w:bCs/>
                <w:i w:val="false"/>
                <w:iCs w:val="false"/>
                <w:strike w:val="false"/>
                <w:color w:val="1A2744"/>
                <w:sz w:val="24"/>
                <w:szCs w:val="24"/>
              </w:rPr>
              <w:t xml:space="preserve">Practitioner Note</w:t>
            </w:r>
          </w:p>
          <w:p>
            <w:pPr>
              <w:spacing w:after="120" w:line="384" w:lineRule="auto"/>
            </w:pPr>
            <w:r>
              <w:rPr>
                <w:rFonts w:ascii="Cambria" w:cs="Cambria" w:eastAsia="Cambria" w:hAnsi="Cambria"/>
                <w:b w:val="false"/>
                <w:bCs w:val="false"/>
                <w:i w:val="false"/>
                <w:iCs w:val="false"/>
                <w:strike w:val="false"/>
                <w:color w:val="000000"/>
                <w:sz w:val="24"/>
                <w:szCs w:val="24"/>
              </w:rPr>
              <w:t xml:space="preserve">At every stage of this flowchart, the advocate committed to textual primacy should be prepared to: (1) identify the specific divergence mechanism at work; (2) demonstrate the gap between the enacted text and the doctrinal construction; and (3) argue that the court’s obligation under Article III is to apply the statute as written, not to perpetuate departures from it.</w:t>
            </w:r>
          </w:p>
        </w:tc>
      </w:tr>
    </w:tbl>
    <w:p>
      <w:pPr>
        <w:spacing w:after="240" w:before="0"/>
      </w:pPr>
    </w:p>
    <w:p>
      <w:pPr>
        <w:pBdr>
          <w:bottom w:val="single" w:color="CCCCCC" w:sz="6"/>
        </w:pBdr>
        <w:spacing w:after="240" w:before="240"/>
      </w:pPr>
    </w:p>
    <w:p>
      <w:pPr>
        <w:pStyle w:val="Heading1"/>
        <w:spacing w:after="120" w:before="480" w:line="312" w:lineRule="auto"/>
      </w:pPr>
      <w:r>
        <w:rPr>
          <w:rFonts w:ascii="Cambria" w:cs="Cambria" w:eastAsia="Cambria" w:hAnsi="Cambria"/>
          <w:color w:val="1A2744"/>
          <w:sz w:val="48"/>
          <w:szCs w:val="48"/>
        </w:rPr>
        <w:t xml:space="preserve">PART III — ARGUMENT: THE CONSTITUTIONAL IMPERATIVE OF TEXTUAL PRIMACY</w:t>
      </w:r>
    </w:p>
    <w:p>
      <w:pPr>
        <w:pStyle w:val="Heading2"/>
        <w:spacing w:after="120" w:before="360" w:line="312" w:lineRule="auto"/>
      </w:pPr>
      <w:r>
        <w:rPr>
          <w:rFonts w:ascii="Cambria" w:cs="Cambria" w:eastAsia="Cambria" w:hAnsi="Cambria"/>
          <w:color w:val="1A2744"/>
          <w:sz w:val="36"/>
          <w:szCs w:val="36"/>
        </w:rPr>
        <w:t xml:space="preserve">I. THE CONSTITUTIONAL TEXT ASSIGNS LAWMAKING POWER EXCLUSIVELY TO THE LEGISLATURE</w:t>
      </w:r>
    </w:p>
    <w:p>
      <w:pPr>
        <w:spacing w:after="120" w:before="60" w:line="384" w:lineRule="auto"/>
      </w:pPr>
      <w:r>
        <w:rPr>
          <w:rFonts w:ascii="Cambria" w:cs="Cambria" w:eastAsia="Cambria" w:hAnsi="Cambria"/>
          <w:b/>
          <w:bCs/>
          <w:i w:val="false"/>
          <w:iCs w:val="false"/>
          <w:strike w:val="false"/>
          <w:color w:val="1A2744"/>
          <w:sz w:val="24"/>
          <w:szCs w:val="24"/>
        </w:rPr>
        <w:t xml:space="preserve">¶ 1.</w:t>
      </w:r>
      <w:r>
        <w:rPr>
          <w:rFonts w:ascii="Cambria" w:cs="Cambria" w:eastAsia="Cambria" w:hAnsi="Cambria"/>
          <w:b w:val="false"/>
          <w:bCs w:val="false"/>
          <w:i w:val="false"/>
          <w:iCs w:val="false"/>
          <w:strike w:val="false"/>
          <w:color w:val="000000"/>
          <w:sz w:val="24"/>
          <w:szCs w:val="24"/>
        </w:rPr>
        <w:t xml:space="preserve"> Article I, Section 1 of the United States Constitution provides that “[a]ll legislative Powers herein granted shall be vested in a Congress of the United States.” U.S. Const. art. I, § 1. This vesting is exclusive. It does not say “some” legislative powers, or “legislative powers except as shared with the judiciary.” It says “all.” The Presentment Clause, Article I, Section 7, further specifies the mechanism by which legislative power is exercised: bicameral passage and presentment to the President. No legal rule possesses the force of law unless it has survived this constitutional gauntlet. When a court substitutes a doctrinal construction for the operative text of a statute, it creates a binding legal rule through a process that bypasses both bicameralism and presentment. This is not interpretation. It is legislation by another name.</w:t>
      </w:r>
    </w:p>
    <w:p>
      <w:pPr>
        <w:spacing w:after="120" w:before="60" w:line="384" w:lineRule="auto"/>
      </w:pPr>
      <w:r>
        <w:rPr>
          <w:rFonts w:ascii="Cambria" w:cs="Cambria" w:eastAsia="Cambria" w:hAnsi="Cambria"/>
          <w:b/>
          <w:bCs/>
          <w:i w:val="false"/>
          <w:iCs w:val="false"/>
          <w:strike w:val="false"/>
          <w:color w:val="1A2744"/>
          <w:sz w:val="24"/>
          <w:szCs w:val="24"/>
        </w:rPr>
        <w:t xml:space="preserve">¶ 2.</w:t>
      </w:r>
      <w:r>
        <w:rPr>
          <w:rFonts w:ascii="Cambria" w:cs="Cambria" w:eastAsia="Cambria" w:hAnsi="Cambria"/>
          <w:b w:val="false"/>
          <w:bCs w:val="false"/>
          <w:i w:val="false"/>
          <w:iCs w:val="false"/>
          <w:strike w:val="false"/>
          <w:color w:val="000000"/>
          <w:sz w:val="24"/>
          <w:szCs w:val="24"/>
        </w:rPr>
        <w:t xml:space="preserve"> The structural principle is foundational: the judiciary’s role under Article III is to decide cases and controversies by applying the law as written, not to improve upon it, supplement it, or correct what judges perceive as its deficiencies. Chief Justice Marshall’s declaration in </w:t>
      </w:r>
      <w:r>
        <w:rPr>
          <w:rFonts w:ascii="Cambria" w:cs="Cambria" w:eastAsia="Cambria" w:hAnsi="Cambria"/>
          <w:b w:val="false"/>
          <w:bCs w:val="false"/>
          <w:i/>
          <w:iCs/>
          <w:strike w:val="false"/>
          <w:color w:val="000000"/>
          <w:sz w:val="24"/>
          <w:szCs w:val="24"/>
        </w:rPr>
        <w:t xml:space="preserve">Marbury v. Madison</w:t>
      </w:r>
      <w:r>
        <w:rPr>
          <w:rFonts w:ascii="Cambria" w:cs="Cambria" w:eastAsia="Cambria" w:hAnsi="Cambria"/>
          <w:b w:val="false"/>
          <w:bCs w:val="false"/>
          <w:i w:val="false"/>
          <w:iCs w:val="false"/>
          <w:strike w:val="false"/>
          <w:color w:val="000000"/>
          <w:sz w:val="24"/>
          <w:szCs w:val="24"/>
        </w:rPr>
        <w:t xml:space="preserve">, 5 U.S. (1 Cranch) 137, 177 (1803), that it is “emphatically the province and duty of the judicial department to say what the law </w:t>
      </w:r>
      <w:r>
        <w:rPr>
          <w:rFonts w:ascii="Cambria" w:cs="Cambria" w:eastAsia="Cambria" w:hAnsi="Cambria"/>
          <w:b w:val="false"/>
          <w:bCs w:val="false"/>
          <w:i/>
          <w:iCs/>
          <w:strike w:val="false"/>
          <w:color w:val="000000"/>
          <w:sz w:val="24"/>
          <w:szCs w:val="24"/>
        </w:rPr>
        <w:t xml:space="preserve">is</w:t>
      </w:r>
      <w:r>
        <w:rPr>
          <w:rFonts w:ascii="Cambria" w:cs="Cambria" w:eastAsia="Cambria" w:hAnsi="Cambria"/>
          <w:b w:val="false"/>
          <w:bCs w:val="false"/>
          <w:i w:val="false"/>
          <w:iCs w:val="false"/>
          <w:strike w:val="false"/>
          <w:color w:val="000000"/>
          <w:sz w:val="24"/>
          <w:szCs w:val="24"/>
        </w:rPr>
        <w:t xml:space="preserve">” has been endlessly cited but incompletely understood. Marshall said “what the law is”—not what it should be, not what it would be if the legislature had been more farsighted, and not what it must become to achieve a judicially preferred outcome. The verb is declaratory, not creative.</w:t>
      </w:r>
    </w:p>
    <w:p>
      <w:pPr>
        <w:spacing w:after="120" w:before="60" w:line="384" w:lineRule="auto"/>
      </w:pPr>
      <w:r>
        <w:rPr>
          <w:rFonts w:ascii="Cambria" w:cs="Cambria" w:eastAsia="Cambria" w:hAnsi="Cambria"/>
          <w:b/>
          <w:bCs/>
          <w:i w:val="false"/>
          <w:iCs w:val="false"/>
          <w:strike w:val="false"/>
          <w:color w:val="1A2744"/>
          <w:sz w:val="24"/>
          <w:szCs w:val="24"/>
        </w:rPr>
        <w:t xml:space="preserve">¶ 3.</w:t>
      </w:r>
      <w:r>
        <w:rPr>
          <w:rFonts w:ascii="Cambria" w:cs="Cambria" w:eastAsia="Cambria" w:hAnsi="Cambria"/>
          <w:b w:val="false"/>
          <w:bCs w:val="false"/>
          <w:i w:val="false"/>
          <w:iCs w:val="false"/>
          <w:strike w:val="false"/>
          <w:color w:val="000000"/>
          <w:sz w:val="24"/>
          <w:szCs w:val="24"/>
        </w:rPr>
        <w:t xml:space="preserve"> Every mechanism of divergence identified in Part I of this memorandum violates this structural principle. Implied exception grafting (M-01) adds limitations Congress did not enact. Balancing test substitution (M-02) replaces legislative rules with judicial standards. Immunity fabrication (M-10) creates legal shields the legislature never authorized. In each instance, the court exercises a power that the Constitution assigns exclusively to Congress. The fact that these departures have accumulated over decades and have been ratified by </w:t>
      </w:r>
      <w:r>
        <w:rPr>
          <w:rFonts w:ascii="Cambria" w:cs="Cambria" w:eastAsia="Cambria" w:hAnsi="Cambria"/>
          <w:b w:val="false"/>
          <w:bCs w:val="false"/>
          <w:i/>
          <w:iCs/>
          <w:strike w:val="false"/>
          <w:color w:val="000000"/>
          <w:sz w:val="24"/>
          <w:szCs w:val="24"/>
        </w:rPr>
        <w:t xml:space="preserve">stare decisis</w:t>
      </w:r>
      <w:r>
        <w:rPr>
          <w:rFonts w:ascii="Cambria" w:cs="Cambria" w:eastAsia="Cambria" w:hAnsi="Cambria"/>
          <w:b w:val="false"/>
          <w:bCs w:val="false"/>
          <w:i w:val="false"/>
          <w:iCs w:val="false"/>
          <w:strike w:val="false"/>
          <w:color w:val="000000"/>
          <w:sz w:val="24"/>
          <w:szCs w:val="24"/>
        </w:rPr>
        <w:t xml:space="preserve"> does not cure the constitutional defect; it compounds it.</w:t>
      </w:r>
    </w:p>
    <w:p>
      <w:pPr>
        <w:pStyle w:val="Heading2"/>
        <w:spacing w:after="120" w:before="360" w:line="312" w:lineRule="auto"/>
      </w:pPr>
      <w:r>
        <w:rPr>
          <w:rFonts w:ascii="Cambria" w:cs="Cambria" w:eastAsia="Cambria" w:hAnsi="Cambria"/>
          <w:color w:val="1A2744"/>
          <w:sz w:val="36"/>
          <w:szCs w:val="36"/>
        </w:rPr>
        <w:t xml:space="preserve">II. DOCTRINAL DRIFT VIOLATES THE RULE OF LENITY AND FAIR NOTICE</w:t>
      </w:r>
    </w:p>
    <w:p>
      <w:pPr>
        <w:spacing w:after="120" w:before="60" w:line="384" w:lineRule="auto"/>
      </w:pPr>
      <w:r>
        <w:rPr>
          <w:rFonts w:ascii="Cambria" w:cs="Cambria" w:eastAsia="Cambria" w:hAnsi="Cambria"/>
          <w:b/>
          <w:bCs/>
          <w:i w:val="false"/>
          <w:iCs w:val="false"/>
          <w:strike w:val="false"/>
          <w:color w:val="1A2744"/>
          <w:sz w:val="24"/>
          <w:szCs w:val="24"/>
        </w:rPr>
        <w:t xml:space="preserve">¶ 4.</w:t>
      </w:r>
      <w:r>
        <w:rPr>
          <w:rFonts w:ascii="Cambria" w:cs="Cambria" w:eastAsia="Cambria" w:hAnsi="Cambria"/>
          <w:b w:val="false"/>
          <w:bCs w:val="false"/>
          <w:i w:val="false"/>
          <w:iCs w:val="false"/>
          <w:strike w:val="false"/>
          <w:color w:val="000000"/>
          <w:sz w:val="24"/>
          <w:szCs w:val="24"/>
        </w:rPr>
        <w:t xml:space="preserve"> The Due Process Clauses of the Fifth and Fourteenth Amendments require that persons subject to legal obligations have fair notice of what the law demands. This principle presupposes that the law is accessible—that a person of ordinary intelligence can read the enacted text and understand its commands, prohibitions, and consequences. When courts add elements, create exceptions, impose balancing tests, or graft immunities onto statutes that contain none, they sever the link between the enacted text and the operative legal rule. The regulated party who reads the statute and conforms her conduct to its plain terms may nonetheless find herself subject to a doctrinal construction that the statute’s text does not disclose. This is the antithesis of fair notice.</w:t>
      </w:r>
    </w:p>
    <w:p>
      <w:pPr>
        <w:spacing w:after="120" w:before="60" w:line="384" w:lineRule="auto"/>
      </w:pPr>
      <w:r>
        <w:rPr>
          <w:rFonts w:ascii="Cambria" w:cs="Cambria" w:eastAsia="Cambria" w:hAnsi="Cambria"/>
          <w:b/>
          <w:bCs/>
          <w:i w:val="false"/>
          <w:iCs w:val="false"/>
          <w:strike w:val="false"/>
          <w:color w:val="1A2744"/>
          <w:sz w:val="24"/>
          <w:szCs w:val="24"/>
        </w:rPr>
        <w:t xml:space="preserve">¶ 5.</w:t>
      </w:r>
      <w:r>
        <w:rPr>
          <w:rFonts w:ascii="Cambria" w:cs="Cambria" w:eastAsia="Cambria" w:hAnsi="Cambria"/>
          <w:b w:val="false"/>
          <w:bCs w:val="false"/>
          <w:i w:val="false"/>
          <w:iCs w:val="false"/>
          <w:strike w:val="false"/>
          <w:color w:val="000000"/>
          <w:sz w:val="24"/>
          <w:szCs w:val="24"/>
        </w:rPr>
        <w:t xml:space="preserve"> The rule of lenity—which requires that genuine ambiguity in criminal statutes be resolved in favor of the defendant—is itself a recognition that judge-made expansion of statutory meaning is constitutionally suspect. If the legislature has not clearly spoken, the judiciary may not fill the silence with prohibitions of its own devising. But the principle underlying lenity is not limited to the criminal context. It reflects a broader structural commitment: the lawmaker must make the law, and the interpreter must not enlarge it. When doctrinal drift operates in the direction of expansion (M-06, M-16), it subjects parties to legal consequences that Congress did not authorize. When it operates in the direction of narrowing (M-01, M-04, M-05, M-10, M-11), it denies statutory beneficiaries the protections Congress enacted for their benefit.</w:t>
      </w:r>
    </w:p>
    <w:p>
      <w:pPr>
        <w:spacing w:after="120" w:before="60" w:line="384" w:lineRule="auto"/>
      </w:pPr>
      <w:r>
        <w:rPr>
          <w:rFonts w:ascii="Cambria" w:cs="Cambria" w:eastAsia="Cambria" w:hAnsi="Cambria"/>
          <w:b/>
          <w:bCs/>
          <w:i w:val="false"/>
          <w:iCs w:val="false"/>
          <w:strike w:val="false"/>
          <w:color w:val="1A2744"/>
          <w:sz w:val="24"/>
          <w:szCs w:val="24"/>
        </w:rPr>
        <w:t xml:space="preserve">¶ 6.</w:t>
      </w:r>
      <w:r>
        <w:rPr>
          <w:rFonts w:ascii="Cambria" w:cs="Cambria" w:eastAsia="Cambria" w:hAnsi="Cambria"/>
          <w:b w:val="false"/>
          <w:bCs w:val="false"/>
          <w:i w:val="false"/>
          <w:iCs w:val="false"/>
          <w:strike w:val="false"/>
          <w:color w:val="000000"/>
          <w:sz w:val="24"/>
          <w:szCs w:val="24"/>
        </w:rPr>
        <w:t xml:space="preserve"> In either direction, the result is the same: the enacted law ceases to be a reliable guide to legal rights and obligations. The citizen must consult not only the statute but also the entire corpus of judicial decisions interpreting it—decisions that may contradict the statute’s plain text—to determine what the law actually requires. This state of affairs is incompatible with the rule of law.</w:t>
      </w:r>
    </w:p>
    <w:p>
      <w:pPr>
        <w:pStyle w:val="Heading2"/>
        <w:spacing w:after="120" w:before="360" w:line="312" w:lineRule="auto"/>
      </w:pPr>
      <w:r>
        <w:rPr>
          <w:rFonts w:ascii="Cambria" w:cs="Cambria" w:eastAsia="Cambria" w:hAnsi="Cambria"/>
          <w:color w:val="1A2744"/>
          <w:sz w:val="36"/>
          <w:szCs w:val="36"/>
        </w:rPr>
        <w:t xml:space="preserve">III. THE SEPARATION OF POWERS DEMANDS JUDICIAL RESTRAINT IN STATUTORY CONSTRUCTION</w:t>
      </w:r>
    </w:p>
    <w:p>
      <w:pPr>
        <w:spacing w:after="120" w:before="60" w:line="384" w:lineRule="auto"/>
      </w:pPr>
      <w:r>
        <w:rPr>
          <w:rFonts w:ascii="Cambria" w:cs="Cambria" w:eastAsia="Cambria" w:hAnsi="Cambria"/>
          <w:b/>
          <w:bCs/>
          <w:i w:val="false"/>
          <w:iCs w:val="false"/>
          <w:strike w:val="false"/>
          <w:color w:val="1A2744"/>
          <w:sz w:val="24"/>
          <w:szCs w:val="24"/>
        </w:rPr>
        <w:t xml:space="preserve">¶ 7.</w:t>
      </w:r>
      <w:r>
        <w:rPr>
          <w:rFonts w:ascii="Cambria" w:cs="Cambria" w:eastAsia="Cambria" w:hAnsi="Cambria"/>
          <w:b w:val="false"/>
          <w:bCs w:val="false"/>
          <w:i w:val="false"/>
          <w:iCs w:val="false"/>
          <w:strike w:val="false"/>
          <w:color w:val="000000"/>
          <w:sz w:val="24"/>
          <w:szCs w:val="24"/>
        </w:rPr>
        <w:t xml:space="preserve"> The remedy for a poorly drafted statute is legislative amendment, not judicial reconstruction. The Constitution assigns to Congress the power to enact, amend, and repeal statutes. When a statute produces results that judges find unwise, unjust, or inefficient, the proper response is to apply the statute as written and leave it to Congress to correct whatever deficiency the case reveals. The judiciary is not a super-legislature empowered to revise statutory text in the name of sound policy. Yet this is precisely what occurs when courts engage in purposive override (M-08), balancing test substitution (M-02), or immunity fabrication (M-10). In each instance, the court identifies a perceived deficiency in the statutory scheme and remedies it through doctrinal construction—a remedy that the Constitution reserves to the legislature.</w:t>
      </w:r>
    </w:p>
    <w:p>
      <w:pPr>
        <w:spacing w:after="120" w:before="60" w:line="384" w:lineRule="auto"/>
      </w:pPr>
      <w:r>
        <w:rPr>
          <w:rFonts w:ascii="Cambria" w:cs="Cambria" w:eastAsia="Cambria" w:hAnsi="Cambria"/>
          <w:b/>
          <w:bCs/>
          <w:i w:val="false"/>
          <w:iCs w:val="false"/>
          <w:strike w:val="false"/>
          <w:color w:val="1A2744"/>
          <w:sz w:val="24"/>
          <w:szCs w:val="24"/>
        </w:rPr>
        <w:t xml:space="preserve">¶ 8.</w:t>
      </w:r>
      <w:r>
        <w:rPr>
          <w:rFonts w:ascii="Cambria" w:cs="Cambria" w:eastAsia="Cambria" w:hAnsi="Cambria"/>
          <w:b w:val="false"/>
          <w:bCs w:val="false"/>
          <w:i w:val="false"/>
          <w:iCs w:val="false"/>
          <w:strike w:val="false"/>
          <w:color w:val="000000"/>
          <w:sz w:val="24"/>
          <w:szCs w:val="24"/>
        </w:rPr>
        <w:t xml:space="preserve"> The democratic accountability that legitimizes lawmaking is entirely absent from judicial doctrine-creation. Members of Congress are elected by the people, are subject to regular electoral accountability, and legislate through a process designed to produce deliberation, compromise, and public scrutiny. Federal judges are appointed for life, are not electorally accountable, and create doctrine through the adjudication of individual disputes. The legislative process is difficult by design—bicameralism, presentment, committee review, and floor debate ensure that legal rules reflect broad consensus. Judicial doctrine bypasses every one of these safeguards. When a court adds a requirement to a statute, it does so without committee hearings, without floor debate, without the opportunity for public comment, and without the check of presidential approval or veto.</w:t>
      </w:r>
    </w:p>
    <w:p>
      <w:pPr>
        <w:spacing w:after="120" w:before="60" w:line="384" w:lineRule="auto"/>
      </w:pPr>
      <w:r>
        <w:rPr>
          <w:rFonts w:ascii="Cambria" w:cs="Cambria" w:eastAsia="Cambria" w:hAnsi="Cambria"/>
          <w:b/>
          <w:bCs/>
          <w:i w:val="false"/>
          <w:iCs w:val="false"/>
          <w:strike w:val="false"/>
          <w:color w:val="1A2744"/>
          <w:sz w:val="24"/>
          <w:szCs w:val="24"/>
        </w:rPr>
        <w:t xml:space="preserve">¶ 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Stare decisis</w:t>
      </w:r>
      <w:r>
        <w:rPr>
          <w:rFonts w:ascii="Cambria" w:cs="Cambria" w:eastAsia="Cambria" w:hAnsi="Cambria"/>
          <w:b w:val="false"/>
          <w:bCs w:val="false"/>
          <w:i w:val="false"/>
          <w:iCs w:val="false"/>
          <w:strike w:val="false"/>
          <w:color w:val="000000"/>
          <w:sz w:val="24"/>
          <w:szCs w:val="24"/>
        </w:rPr>
        <w:t xml:space="preserve"> cannot cure a constitutional defect. If the original interpretation departed from the enacted text, perpetuating it through precedent merely compounds the violation across successive cases and successive generations of litigants. The doctrine of </w:t>
      </w:r>
      <w:r>
        <w:rPr>
          <w:rFonts w:ascii="Cambria" w:cs="Cambria" w:eastAsia="Cambria" w:hAnsi="Cambria"/>
          <w:b w:val="false"/>
          <w:bCs w:val="false"/>
          <w:i/>
          <w:iCs/>
          <w:strike w:val="false"/>
          <w:color w:val="000000"/>
          <w:sz w:val="24"/>
          <w:szCs w:val="24"/>
        </w:rPr>
        <w:t xml:space="preserve">stare decisis</w:t>
      </w:r>
      <w:r>
        <w:rPr>
          <w:rFonts w:ascii="Cambria" w:cs="Cambria" w:eastAsia="Cambria" w:hAnsi="Cambria"/>
          <w:b w:val="false"/>
          <w:bCs w:val="false"/>
          <w:i w:val="false"/>
          <w:iCs w:val="false"/>
          <w:strike w:val="false"/>
          <w:color w:val="000000"/>
          <w:sz w:val="24"/>
          <w:szCs w:val="24"/>
        </w:rPr>
        <w:t xml:space="preserve"> is a prudential principle, not a constitutional command. It yields when adherence to precedent would require the continued application of a rule that was wrong when decided and that conflicts with the enacted law. This Court is not bound to follow a doctrinal construction merely because it has been followed before; it is bound to apply the statute as Congress enacted it.</w:t>
      </w:r>
    </w:p>
    <w:p>
      <w:pPr>
        <w:pStyle w:val="Heading2"/>
        <w:spacing w:after="120" w:before="360" w:line="312" w:lineRule="auto"/>
      </w:pPr>
      <w:r>
        <w:rPr>
          <w:rFonts w:ascii="Cambria" w:cs="Cambria" w:eastAsia="Cambria" w:hAnsi="Cambria"/>
          <w:color w:val="1A2744"/>
          <w:sz w:val="36"/>
          <w:szCs w:val="36"/>
        </w:rPr>
        <w:t xml:space="preserve">IV. PRACTICAL CONSEQUENCES OF DOCTRINAL DISPLACEMENT</w:t>
      </w:r>
    </w:p>
    <w:p>
      <w:pPr>
        <w:spacing w:after="120" w:before="60" w:line="384" w:lineRule="auto"/>
      </w:pPr>
      <w:r>
        <w:rPr>
          <w:rFonts w:ascii="Cambria" w:cs="Cambria" w:eastAsia="Cambria" w:hAnsi="Cambria"/>
          <w:b/>
          <w:bCs/>
          <w:i w:val="false"/>
          <w:iCs w:val="false"/>
          <w:strike w:val="false"/>
          <w:color w:val="1A2744"/>
          <w:sz w:val="24"/>
          <w:szCs w:val="24"/>
        </w:rPr>
        <w:t xml:space="preserve">¶ 10.</w:t>
      </w:r>
      <w:r>
        <w:rPr>
          <w:rFonts w:ascii="Cambria" w:cs="Cambria" w:eastAsia="Cambria" w:hAnsi="Cambria"/>
          <w:b w:val="false"/>
          <w:bCs w:val="false"/>
          <w:i w:val="false"/>
          <w:iCs w:val="false"/>
          <w:strike w:val="false"/>
          <w:color w:val="000000"/>
          <w:sz w:val="24"/>
          <w:szCs w:val="24"/>
        </w:rPr>
        <w:t xml:space="preserve"> Doctrinal displacement creates three concrete harms that warrant this Court’s attention. </w:t>
      </w:r>
      <w:r>
        <w:rPr>
          <w:rFonts w:ascii="Cambria" w:cs="Cambria" w:eastAsia="Cambria" w:hAnsi="Cambria"/>
          <w:b/>
          <w:bCs/>
          <w:i w:val="false"/>
          <w:iCs w:val="false"/>
          <w:strike w:val="false"/>
          <w:color w:val="000000"/>
          <w:sz w:val="24"/>
          <w:szCs w:val="24"/>
        </w:rPr>
        <w:t xml:space="preserve">First, it creates unpredictability.</w:t>
      </w:r>
      <w:r>
        <w:rPr>
          <w:rFonts w:ascii="Cambria" w:cs="Cambria" w:eastAsia="Cambria" w:hAnsi="Cambria"/>
          <w:b w:val="false"/>
          <w:bCs w:val="false"/>
          <w:i w:val="false"/>
          <w:iCs w:val="false"/>
          <w:strike w:val="false"/>
          <w:color w:val="000000"/>
          <w:sz w:val="24"/>
          <w:szCs w:val="24"/>
        </w:rPr>
        <w:t xml:space="preserve"> Practitioners advising clients cannot rely on the statutory text alone. They must master not only the enacted language but also the extensive judicial gloss that has accumulated around it—a gloss that may vary by circuit, that may conflict with the text, and that may be overturned without warning when the Supreme Court revisits the question. The result is a legal regime in which the statute book is an unreliable guide to legal obligations, and in which competent legal advice requires exhaustive familiarity with doctrinal developments that are, by definition, not accessible to non-specialists.</w:t>
      </w:r>
    </w:p>
    <w:p>
      <w:pPr>
        <w:spacing w:after="120" w:before="60" w:line="384" w:lineRule="auto"/>
      </w:pPr>
      <w:r>
        <w:rPr>
          <w:rFonts w:ascii="Cambria" w:cs="Cambria" w:eastAsia="Cambria" w:hAnsi="Cambria"/>
          <w:b/>
          <w:bCs/>
          <w:i w:val="false"/>
          <w:iCs w:val="false"/>
          <w:strike w:val="false"/>
          <w:color w:val="1A2744"/>
          <w:sz w:val="24"/>
          <w:szCs w:val="24"/>
        </w:rPr>
        <w:t xml:space="preserve">¶ 11.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Second, doctrinal displacement creates asymmetry.</w:t>
      </w:r>
      <w:r>
        <w:rPr>
          <w:rFonts w:ascii="Cambria" w:cs="Cambria" w:eastAsia="Cambria" w:hAnsi="Cambria"/>
          <w:b w:val="false"/>
          <w:bCs w:val="false"/>
          <w:i w:val="false"/>
          <w:iCs w:val="false"/>
          <w:strike w:val="false"/>
          <w:color w:val="000000"/>
          <w:sz w:val="24"/>
          <w:szCs w:val="24"/>
        </w:rPr>
        <w:t xml:space="preserve"> Well-resourced litigants—large corporations, government entities, sophisticated repeat players—can exploit doctrinal complexity to their advantage. They can invoke qualified immunity, abstention doctrines, exhaustion requirements, and burden-shifting frameworks to defeat claims that the statutory text plainly supports. Under-resourced parties—individual employees, small businesses, civil-rights plaintiffs, environmental advocates—are denied the simple, direct protections the statute provides because they cannot navigate the doctrinal labyrinth that courts have constructed around the enacted text. The complexity of judge-made doctrine operates as a de facto barrier to justice for those whom the statute was designed to protect.</w:t>
      </w:r>
    </w:p>
    <w:p>
      <w:pPr>
        <w:spacing w:after="120" w:before="60" w:line="384" w:lineRule="auto"/>
      </w:pPr>
      <w:r>
        <w:rPr>
          <w:rFonts w:ascii="Cambria" w:cs="Cambria" w:eastAsia="Cambria" w:hAnsi="Cambria"/>
          <w:b/>
          <w:bCs/>
          <w:i w:val="false"/>
          <w:iCs w:val="false"/>
          <w:strike w:val="false"/>
          <w:color w:val="1A2744"/>
          <w:sz w:val="24"/>
          <w:szCs w:val="24"/>
        </w:rPr>
        <w:t xml:space="preserve">¶ 12.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Third, doctrinal displacement creates a democratic deficit.</w:t>
      </w:r>
      <w:r>
        <w:rPr>
          <w:rFonts w:ascii="Cambria" w:cs="Cambria" w:eastAsia="Cambria" w:hAnsi="Cambria"/>
          <w:b w:val="false"/>
          <w:bCs w:val="false"/>
          <w:i w:val="false"/>
          <w:iCs w:val="false"/>
          <w:strike w:val="false"/>
          <w:color w:val="000000"/>
          <w:sz w:val="24"/>
          <w:szCs w:val="24"/>
        </w:rPr>
        <w:t xml:space="preserve"> Legislative bargains reflected in statutory text are the product of democratic deliberation. They represent compromises among competing interests, negotiated through a constitutionally prescribed process. When judges override those bargains through doctrinal construction, they substitute their own policy preferences for the will of the elected legislature. The resulting legal rules lack democratic legitimacy. They were not debated by the public, voted upon by elected representatives, or signed by the President. They are, in the most literal sense, the law of judges—not the law of the people.</w:t>
      </w:r>
    </w:p>
    <w:p>
      <w:pPr>
        <w:pStyle w:val="Heading2"/>
        <w:spacing w:after="120" w:before="360" w:line="312" w:lineRule="auto"/>
      </w:pPr>
      <w:r>
        <w:rPr>
          <w:rFonts w:ascii="Cambria" w:cs="Cambria" w:eastAsia="Cambria" w:hAnsi="Cambria"/>
          <w:color w:val="1A2744"/>
          <w:sz w:val="36"/>
          <w:szCs w:val="36"/>
        </w:rPr>
        <w:t xml:space="preserve">V. CONCLUSION AND REQUESTED RELIEF</w:t>
      </w:r>
    </w:p>
    <w:p>
      <w:pPr>
        <w:spacing w:after="120" w:before="60" w:line="384" w:lineRule="auto"/>
      </w:pPr>
      <w:r>
        <w:rPr>
          <w:rFonts w:ascii="Cambria" w:cs="Cambria" w:eastAsia="Cambria" w:hAnsi="Cambria"/>
          <w:b/>
          <w:bCs/>
          <w:i w:val="false"/>
          <w:iCs w:val="false"/>
          <w:strike w:val="false"/>
          <w:color w:val="1A2744"/>
          <w:sz w:val="24"/>
          <w:szCs w:val="24"/>
        </w:rPr>
        <w:t xml:space="preserve">¶ 13.</w:t>
      </w:r>
      <w:r>
        <w:rPr>
          <w:rFonts w:ascii="Cambria" w:cs="Cambria" w:eastAsia="Cambria" w:hAnsi="Cambria"/>
          <w:b w:val="false"/>
          <w:bCs w:val="false"/>
          <w:i w:val="false"/>
          <w:iCs w:val="false"/>
          <w:strike w:val="false"/>
          <w:color w:val="000000"/>
          <w:sz w:val="24"/>
          <w:szCs w:val="24"/>
        </w:rPr>
        <w:t xml:space="preserve"> For the foregoing reasons, this Court should apply the statutory text as enacted, decline to extend or create doctrinal glosses that depart from the statutory language, and recognize that the mechanisms of divergence identified herein represent structural defects in the interpretive process—not legitimate exercises of judicial power. The Constitution vests lawmaking authority in Congress. The statute is the law. Doctrine that departs from the statute departs from the law. This Court has both the authority and the obligation to restore the primacy of the enacted text.</w:t>
      </w:r>
    </w:p>
    <w:p>
      <w:pPr>
        <w:spacing w:after="120" w:before="60" w:line="384" w:lineRule="auto"/>
      </w:pPr>
      <w:r>
        <w:rPr>
          <w:rFonts w:ascii="Cambria" w:cs="Cambria" w:eastAsia="Cambria" w:hAnsi="Cambria"/>
          <w:b/>
          <w:bCs/>
          <w:i w:val="false"/>
          <w:iCs w:val="false"/>
          <w:strike w:val="false"/>
          <w:color w:val="1A2744"/>
          <w:sz w:val="24"/>
          <w:szCs w:val="24"/>
        </w:rPr>
        <w:t xml:space="preserve">¶ 14.</w:t>
      </w:r>
      <w:r>
        <w:rPr>
          <w:rFonts w:ascii="Cambria" w:cs="Cambria" w:eastAsia="Cambria" w:hAnsi="Cambria"/>
          <w:b w:val="false"/>
          <w:bCs w:val="false"/>
          <w:i w:val="false"/>
          <w:iCs w:val="false"/>
          <w:strike w:val="false"/>
          <w:color w:val="000000"/>
          <w:sz w:val="24"/>
          <w:szCs w:val="24"/>
        </w:rPr>
        <w:t xml:space="preserve"> Specifically, this Court is respectfully requested to: (a) apply the operative statutory language without resort to judicially created limitations, exceptions, or supplementary frameworks not found in the enacted text; (b) decline to extend doctrinal constructions that have displaced the statutory command; and (c) recognize that </w:t>
      </w:r>
      <w:r>
        <w:rPr>
          <w:rFonts w:ascii="Cambria" w:cs="Cambria" w:eastAsia="Cambria" w:hAnsi="Cambria"/>
          <w:b w:val="false"/>
          <w:bCs w:val="false"/>
          <w:i/>
          <w:iCs/>
          <w:strike w:val="false"/>
          <w:color w:val="000000"/>
          <w:sz w:val="24"/>
          <w:szCs w:val="24"/>
        </w:rPr>
        <w:t xml:space="preserve">stare decisis</w:t>
      </w:r>
      <w:r>
        <w:rPr>
          <w:rFonts w:ascii="Cambria" w:cs="Cambria" w:eastAsia="Cambria" w:hAnsi="Cambria"/>
          <w:b w:val="false"/>
          <w:bCs w:val="false"/>
          <w:i w:val="false"/>
          <w:iCs w:val="false"/>
          <w:strike w:val="false"/>
          <w:color w:val="000000"/>
          <w:sz w:val="24"/>
          <w:szCs w:val="24"/>
        </w:rPr>
        <w:t xml:space="preserve"> does not require adherence to precedent that is irreconcilable with the statute Congress enacted.</w:t>
      </w:r>
    </w:p>
    <w:p>
      <w:pPr>
        <w:pBdr>
          <w:bottom w:val="single" w:color="CCCCCC" w:sz="6"/>
        </w:pBdr>
        <w:spacing w:after="240" w:before="240"/>
      </w:pPr>
    </w:p>
    <w:p>
      <w:pPr>
        <w:pStyle w:val="Heading1"/>
        <w:spacing w:after="120" w:before="480" w:line="312" w:lineRule="auto"/>
      </w:pPr>
      <w:r>
        <w:rPr>
          <w:rFonts w:ascii="Cambria" w:cs="Cambria" w:eastAsia="Cambria" w:hAnsi="Cambria"/>
          <w:color w:val="1A2744"/>
          <w:sz w:val="48"/>
          <w:szCs w:val="48"/>
        </w:rPr>
        <w:t xml:space="preserve">PART IV — SIDE-BY-SIDE COMPARISON: STATUTORY CATEGORIES VS. DOCTRINAL CATEGORIES</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The following table presents a domain-by-domain comparison of what Congress enacted (Statutory Category) and what courts have constructed (Doctrinal Category). The statutory column draws exclusively from enacted text. The doctrinal column is clearly identified as judicially created. Color coding reinforces this distinction: </w:t>
      </w:r>
      <w:r>
        <w:rPr>
          <w:rFonts w:ascii="Cambria" w:cs="Cambria" w:eastAsia="Cambria" w:hAnsi="Cambria"/>
          <w:b w:val="false"/>
          <w:bCs w:val="false"/>
          <w:i w:val="false"/>
          <w:iCs w:val="false"/>
          <w:strike w:val="false"/>
          <w:color w:val="000000"/>
          <w:sz w:val="24"/>
          <w:szCs w:val="24"/>
          <w:shd w:fill="E8EEF5" w:color="auto" w:val="clear"/>
        </w:rPr>
        <w:t xml:space="preserve">blue-tinted cells</w:t>
      </w:r>
      <w:r>
        <w:rPr>
          <w:rFonts w:ascii="Cambria" w:cs="Cambria" w:eastAsia="Cambria" w:hAnsi="Cambria"/>
          <w:b w:val="false"/>
          <w:bCs w:val="false"/>
          <w:i w:val="false"/>
          <w:iCs w:val="false"/>
          <w:strike w:val="false"/>
          <w:color w:val="000000"/>
          <w:sz w:val="24"/>
          <w:szCs w:val="24"/>
        </w:rPr>
        <w:t xml:space="preserve"> contain enacted law; </w:t>
      </w:r>
      <w:r>
        <w:rPr>
          <w:rFonts w:ascii="Cambria" w:cs="Cambria" w:eastAsia="Cambria" w:hAnsi="Cambria"/>
          <w:b w:val="false"/>
          <w:bCs w:val="false"/>
          <w:i w:val="false"/>
          <w:iCs w:val="false"/>
          <w:strike w:val="false"/>
          <w:color w:val="000000"/>
          <w:sz w:val="24"/>
          <w:szCs w:val="24"/>
          <w:shd w:fill="FDF5E6" w:color="auto" w:val="clear"/>
        </w:rPr>
        <w:t xml:space="preserve">amber-tinted cells</w:t>
      </w:r>
      <w:r>
        <w:rPr>
          <w:rFonts w:ascii="Cambria" w:cs="Cambria" w:eastAsia="Cambria" w:hAnsi="Cambria"/>
          <w:b w:val="false"/>
          <w:bCs w:val="false"/>
          <w:i w:val="false"/>
          <w:iCs w:val="false"/>
          <w:strike w:val="false"/>
          <w:color w:val="000000"/>
          <w:sz w:val="24"/>
          <w:szCs w:val="24"/>
        </w:rPr>
        <w:t xml:space="preserve"> contain judge-made doctrine.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6%"/>
            <w:shd w:fill="1A2744"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Domain</w:t>
            </w:r>
          </w:p>
        </w:tc>
        <w:tc>
          <w:tcPr>
            <w:tcW w:type="pct" w:w="8%"/>
            <w:shd w:fill="2B4570"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Statutory Category (Enacted Text)</w:t>
            </w:r>
          </w:p>
        </w:tc>
        <w:tc>
          <w:tcPr>
            <w:tcW w:type="pct" w:w="8%"/>
            <w:shd w:fill="7A5C00"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Doctrinal Category (Judicially Created)</w:t>
            </w:r>
          </w:p>
        </w:tc>
        <w:tc>
          <w:tcPr>
            <w:tcW w:type="pct" w:w="68%"/>
            <w:shd w:fill="1A2744"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Nature of Divergence</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 Standing to Sue</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“Any person aggrieved” or “any person” language in citizen-suit provisions. Statutes define the plaintiff class by enacted text without additional prerequisites.</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Article III standing doctrine requires injury-in-fact, causation, and redressability as a constitutional minimum. </w:t>
            </w:r>
            <w:r>
              <w:rPr>
                <w:rFonts w:ascii="Cambria" w:cs="Cambria" w:eastAsia="Cambria" w:hAnsi="Cambria"/>
                <w:b w:val="false"/>
                <w:bCs w:val="false"/>
                <w:i/>
                <w:iCs/>
                <w:strike w:val="false"/>
                <w:color w:val="000000"/>
                <w:sz w:val="24"/>
                <w:szCs w:val="24"/>
              </w:rPr>
              <w:t xml:space="preserve">Lujan v. Defenders of Wildlife</w:t>
            </w:r>
            <w:r>
              <w:rPr>
                <w:rFonts w:ascii="Cambria" w:cs="Cambria" w:eastAsia="Cambria" w:hAnsi="Cambria"/>
                <w:b w:val="false"/>
                <w:bCs w:val="false"/>
                <w:i w:val="false"/>
                <w:iCs w:val="false"/>
                <w:strike w:val="false"/>
                <w:color w:val="000000"/>
                <w:sz w:val="20"/>
                <w:szCs w:val="20"/>
              </w:rPr>
              <w:t xml:space="preserve"> (1992) framework excludes parties Congress authorized to sue.</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Court-imposed constitutional standing requirements narrow the congressionally defined plaintiff class. Statutory authorization to sue is treated as necessary but not sufficient.</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2. Liability Standard</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Strict liability provisions (e.g., CERCLA § 107, certain product liability statutes). Statutes impose liability without a mental-state element.</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 importation of fault, knowledge, or intent requirements. </w:t>
            </w:r>
            <w:r>
              <w:rPr>
                <w:rFonts w:ascii="Cambria" w:cs="Cambria" w:eastAsia="Cambria" w:hAnsi="Cambria"/>
                <w:b w:val="false"/>
                <w:bCs w:val="false"/>
                <w:i/>
                <w:iCs/>
                <w:strike w:val="false"/>
                <w:color w:val="000000"/>
                <w:sz w:val="24"/>
                <w:szCs w:val="24"/>
              </w:rPr>
              <w:t xml:space="preserve">Morissette v. United States</w:t>
            </w:r>
            <w:r>
              <w:rPr>
                <w:rFonts w:ascii="Cambria" w:cs="Cambria" w:eastAsia="Cambria" w:hAnsi="Cambria"/>
                <w:b w:val="false"/>
                <w:bCs w:val="false"/>
                <w:i w:val="false"/>
                <w:iCs w:val="false"/>
                <w:strike w:val="false"/>
                <w:color w:val="000000"/>
                <w:sz w:val="20"/>
                <w:szCs w:val="20"/>
              </w:rPr>
              <w:t xml:space="preserve"> (1952) line of cases presumes scienter requirement even where text is silent.</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add mens rea elements the legislature deliberately omitted, narrowing the scope of liability below the statutory command.</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3. Remedies Available</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Statutes using mandatory language: “shall” award attorneys’ fees; treble damages authorized; injunctive relief available. Enacted text specifies remedial entitlements.</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Discretionary standards replace mandatory language. </w:t>
            </w:r>
            <w:r>
              <w:rPr>
                <w:rFonts w:ascii="Cambria" w:cs="Cambria" w:eastAsia="Cambria" w:hAnsi="Cambria"/>
                <w:b w:val="false"/>
                <w:bCs w:val="false"/>
                <w:i/>
                <w:iCs/>
                <w:strike w:val="false"/>
                <w:color w:val="000000"/>
                <w:sz w:val="24"/>
                <w:szCs w:val="24"/>
              </w:rPr>
              <w:t xml:space="preserve">eBay Inc. v. MercExchange</w:t>
            </w:r>
            <w:r>
              <w:rPr>
                <w:rFonts w:ascii="Cambria" w:cs="Cambria" w:eastAsia="Cambria" w:hAnsi="Cambria"/>
                <w:b w:val="false"/>
                <w:bCs w:val="false"/>
                <w:i w:val="false"/>
                <w:iCs w:val="false"/>
                <w:strike w:val="false"/>
                <w:color w:val="000000"/>
                <w:sz w:val="20"/>
                <w:szCs w:val="20"/>
              </w:rPr>
              <w:t xml:space="preserve"> (2006) four-factor test supplants statutory injunction rights. Courts impose prudential barriers to fee-shifting.</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Mandatory statutory remedies converted to discretionary judicial grants. “Shall” is read as “may” through doctrinal gloss.</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4. Preemption Scope</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Express preemption clauses with defined scope. Where Congress intends to displace state law, it says so, and specifies the extent of displacement.</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Implied preemption, field preemption, and conflict preemption doctrines expand displacement of state law beyond the statute’s express terms. Courts find preemption where Congress did not provide it.</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Judicially constructed preemption categories displace state law beyond what the enacted text authorizes, overriding the presumption against preemption.</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5. Immunity from Suit</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No immunity provision in the enacted text. Statutes such as 42 U.S.C. § 1983 create liability without carve-outs for official status.</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Qualified immunity (</w:t>
            </w:r>
            <w:r>
              <w:rPr>
                <w:rFonts w:ascii="Cambria" w:cs="Cambria" w:eastAsia="Cambria" w:hAnsi="Cambria"/>
                <w:b w:val="false"/>
                <w:bCs w:val="false"/>
                <w:i/>
                <w:iCs/>
                <w:strike w:val="false"/>
                <w:color w:val="000000"/>
                <w:sz w:val="24"/>
                <w:szCs w:val="24"/>
              </w:rPr>
              <w:t xml:space="preserve">Harlow v. Fitzgerald</w:t>
            </w:r>
            <w:r>
              <w:rPr>
                <w:rFonts w:ascii="Cambria" w:cs="Cambria" w:eastAsia="Cambria" w:hAnsi="Cambria"/>
                <w:b w:val="false"/>
                <w:bCs w:val="false"/>
                <w:i w:val="false"/>
                <w:iCs w:val="false"/>
                <w:strike w:val="false"/>
                <w:color w:val="000000"/>
                <w:sz w:val="20"/>
                <w:szCs w:val="20"/>
              </w:rPr>
              <w:t xml:space="preserve">, 1982), absolute immunity (judicial, prosecutorial, legislative), and sovereign immunity doctrines—all judicially constructed without statutory basis.</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fabricate immunity shields that extinguish statutory causes of action. The statutory text creates liability; the doctrine eliminates it.</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6. Burden of Proof</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Statutory elements defined by Congress (e.g., Title VII discrimination elements). The enacted text specifies what must be proven to establish a claim.</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McDonnell Douglas Corp. v. Green</w:t>
            </w:r>
            <w:r>
              <w:rPr>
                <w:rFonts w:ascii="Cambria" w:cs="Cambria" w:eastAsia="Cambria" w:hAnsi="Cambria"/>
                <w:b w:val="false"/>
                <w:bCs w:val="false"/>
                <w:i w:val="false"/>
                <w:iCs w:val="false"/>
                <w:strike w:val="false"/>
                <w:color w:val="000000"/>
                <w:sz w:val="20"/>
                <w:szCs w:val="20"/>
              </w:rPr>
              <w:t xml:space="preserve"> (1973) burden-shifting framework restructures statutory proof into a three-stage process (prima facie case, legitimate nondiscriminatory reason, pretext) not found in the text.</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Judicially created evidentiary framework replaces the statutory elements with a procedural mechanism Congress did not design or enact.</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7. Jurisdictional Scope</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Federal jurisdiction over “all civil actions arising under” the Constitution, laws, or treaties of the United States. 28 U.S.C. § 1331.</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Well-pleaded complaint rule, </w:t>
            </w:r>
            <w:r>
              <w:rPr>
                <w:rFonts w:ascii="Cambria" w:cs="Cambria" w:eastAsia="Cambria" w:hAnsi="Cambria"/>
                <w:b w:val="false"/>
                <w:bCs w:val="false"/>
                <w:i/>
                <w:iCs/>
                <w:strike w:val="false"/>
                <w:color w:val="000000"/>
                <w:sz w:val="24"/>
                <w:szCs w:val="24"/>
              </w:rPr>
              <w:t xml:space="preserve">Grable</w:t>
            </w:r>
            <w:r>
              <w:rPr>
                <w:rFonts w:ascii="Cambria" w:cs="Cambria" w:eastAsia="Cambria" w:hAnsi="Cambria"/>
                <w:b w:val="false"/>
                <w:bCs w:val="false"/>
                <w:i w:val="false"/>
                <w:iCs w:val="false"/>
                <w:strike w:val="false"/>
                <w:color w:val="000000"/>
                <w:sz w:val="20"/>
                <w:szCs w:val="20"/>
              </w:rPr>
              <w:t xml:space="preserve"> substantial federal question test, and abstention doctrines (</w:t>
            </w:r>
            <w:r>
              <w:rPr>
                <w:rFonts w:ascii="Cambria" w:cs="Cambria" w:eastAsia="Cambria" w:hAnsi="Cambria"/>
                <w:b w:val="false"/>
                <w:bCs w:val="false"/>
                <w:i/>
                <w:iCs/>
                <w:strike w:val="false"/>
                <w:color w:val="000000"/>
                <w:sz w:val="24"/>
                <w:szCs w:val="24"/>
              </w:rPr>
              <w:t xml:space="preserve">Pullman</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Burford</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Colorado River</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4"/>
                <w:szCs w:val="24"/>
              </w:rPr>
              <w:t xml:space="preserve">Younger</w:t>
            </w:r>
            <w:r>
              <w:rPr>
                <w:rFonts w:ascii="Cambria" w:cs="Cambria" w:eastAsia="Cambria" w:hAnsi="Cambria"/>
                <w:b w:val="false"/>
                <w:bCs w:val="false"/>
                <w:i w:val="false"/>
                <w:iCs w:val="false"/>
                <w:strike w:val="false"/>
                <w:color w:val="000000"/>
                <w:sz w:val="20"/>
                <w:szCs w:val="20"/>
              </w:rPr>
              <w:t xml:space="preserve">) restrict and reshape jurisdiction Congress conferred.</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 doctrines narrow or redirect the exercise of jurisdiction that Congress granted in categorical terms.</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8. Administrative Exhaustion</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Direct judicial review provisions without exhaustion requirements. Statutes grant access to courts without conditioning it on prior administrative proceedings.</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Judicially imposed exhaustion as a prudential requirement. Courts require claimants to pursue and complete administrative remedies before filing suit, even where the statute imposes no such condition.</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add a procedural prerequisite the legislature did not enact, delaying or blocking access to the judicial remedy Congress provided.</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9. Statute of Limitations</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Specific limitations periods enacted by Congress. The statute provides a defined time period within which claims must be brought.</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Equitable tolling, the discovery rule, and continuing violation theory—all judicially created modifications that extend or restructure the legislatively enacted time bar.</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modify the time limits Congress enacted, both extending and (in some cases) restricting the operative limitations period through doctrinal construction.</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10. Definition of “Person”</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Enacted definitions: Dictionary Act (1 U.S.C. § 1) provides that “person” includes corporations, companies, associations, firms, partnerships, societies, and joint stock companies. Specific statutes may define further.</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 expansion to include municipalities (</w:t>
            </w:r>
            <w:r>
              <w:rPr>
                <w:rFonts w:ascii="Cambria" w:cs="Cambria" w:eastAsia="Cambria" w:hAnsi="Cambria"/>
                <w:b w:val="false"/>
                <w:bCs w:val="false"/>
                <w:i/>
                <w:iCs/>
                <w:strike w:val="false"/>
                <w:color w:val="000000"/>
                <w:sz w:val="24"/>
                <w:szCs w:val="24"/>
              </w:rPr>
              <w:t xml:space="preserve">Monell v. Dep’t of Social Services</w:t>
            </w:r>
            <w:r>
              <w:rPr>
                <w:rFonts w:ascii="Cambria" w:cs="Cambria" w:eastAsia="Cambria" w:hAnsi="Cambria"/>
                <w:b w:val="false"/>
                <w:bCs w:val="false"/>
                <w:i w:val="false"/>
                <w:iCs w:val="false"/>
                <w:strike w:val="false"/>
                <w:color w:val="000000"/>
                <w:sz w:val="20"/>
                <w:szCs w:val="20"/>
              </w:rPr>
              <w:t xml:space="preserve">, 1978), or narrowing to exclude certain entities. Courts reshape the enacted definition based on context and purpose.</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broaden or narrow the legislatively defined term based on judicially perceived context, displacing the enacted definition.</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11. Mens Rea Requirements</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Statutes silent on mental state, or expressly specifying strict liability. Where Congress intends a mens rea requirement, it enacts one using terms such as “knowingly,” “willfully,” or “intentionally.”</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 presumption of scienter requirement (</w:t>
            </w:r>
            <w:r>
              <w:rPr>
                <w:rFonts w:ascii="Cambria" w:cs="Cambria" w:eastAsia="Cambria" w:hAnsi="Cambria"/>
                <w:b w:val="false"/>
                <w:bCs w:val="false"/>
                <w:i/>
                <w:iCs/>
                <w:strike w:val="false"/>
                <w:color w:val="000000"/>
                <w:sz w:val="24"/>
                <w:szCs w:val="24"/>
              </w:rPr>
              <w:t xml:space="preserve">Morissette v. United States</w:t>
            </w:r>
            <w:r>
              <w:rPr>
                <w:rFonts w:ascii="Cambria" w:cs="Cambria" w:eastAsia="Cambria" w:hAnsi="Cambria"/>
                <w:b w:val="false"/>
                <w:bCs w:val="false"/>
                <w:i w:val="false"/>
                <w:iCs w:val="false"/>
                <w:strike w:val="false"/>
                <w:color w:val="000000"/>
                <w:sz w:val="20"/>
                <w:szCs w:val="20"/>
              </w:rPr>
              <w:t xml:space="preserve">, 1952). Courts read mental-state requirements into statutes that do not contain them, based on common-law background principles.</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override the legislative choice to impose strict liability by reading in mental-state elements based on judge-made presumptions about legislative intent.</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12. Scope of Protected Class</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Enumerated protected categories: race, color, religion, sex, national origin (Title VII); age (ADEA); disability (ADA). Congress specifies the protected characteristics.</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Judicial expansion: </w:t>
            </w:r>
            <w:r>
              <w:rPr>
                <w:rFonts w:ascii="Cambria" w:cs="Cambria" w:eastAsia="Cambria" w:hAnsi="Cambria"/>
                <w:b w:val="false"/>
                <w:bCs w:val="false"/>
                <w:i/>
                <w:iCs/>
                <w:strike w:val="false"/>
                <w:color w:val="000000"/>
                <w:sz w:val="24"/>
                <w:szCs w:val="24"/>
              </w:rPr>
              <w:t xml:space="preserve">Bostock v. Clayton County</w:t>
            </w:r>
            <w:r>
              <w:rPr>
                <w:rFonts w:ascii="Cambria" w:cs="Cambria" w:eastAsia="Cambria" w:hAnsi="Cambria"/>
                <w:b w:val="false"/>
                <w:bCs w:val="false"/>
                <w:i w:val="false"/>
                <w:iCs w:val="false"/>
                <w:strike w:val="false"/>
                <w:color w:val="000000"/>
                <w:sz w:val="20"/>
                <w:szCs w:val="20"/>
              </w:rPr>
              <w:t xml:space="preserve"> (2020) held “sex” encompasses sexual orientation and gender identity. Earlier doctrine narrowed “sex” to biological categories. Courts reshape the statutory terms.</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expand or contract the enacted protected categories through interpretive construction, altering the scope of statutory protection beyond or below the enacted terms.</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13. Private Right of Action</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Express cause-of-action provisions. Where Congress intends to create a private right of action, it does so through enacted text specifying who may sue, for what, and with what remedies.</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Implied right of action doctrine: </w:t>
            </w:r>
            <w:r>
              <w:rPr>
                <w:rFonts w:ascii="Cambria" w:cs="Cambria" w:eastAsia="Cambria" w:hAnsi="Cambria"/>
                <w:b w:val="false"/>
                <w:bCs w:val="false"/>
                <w:i/>
                <w:iCs/>
                <w:strike w:val="false"/>
                <w:color w:val="000000"/>
                <w:sz w:val="24"/>
                <w:szCs w:val="24"/>
              </w:rPr>
              <w:t xml:space="preserve">Cort v. Ash</w:t>
            </w:r>
            <w:r>
              <w:rPr>
                <w:rFonts w:ascii="Cambria" w:cs="Cambria" w:eastAsia="Cambria" w:hAnsi="Cambria"/>
                <w:b w:val="false"/>
                <w:bCs w:val="false"/>
                <w:i w:val="false"/>
                <w:iCs w:val="false"/>
                <w:strike w:val="false"/>
                <w:color w:val="000000"/>
                <w:sz w:val="20"/>
                <w:szCs w:val="20"/>
              </w:rPr>
              <w:t xml:space="preserve"> (1975) four-factor test. Subsequent retrenchment: </w:t>
            </w:r>
            <w:r>
              <w:rPr>
                <w:rFonts w:ascii="Cambria" w:cs="Cambria" w:eastAsia="Cambria" w:hAnsi="Cambria"/>
                <w:b w:val="false"/>
                <w:bCs w:val="false"/>
                <w:i/>
                <w:iCs/>
                <w:strike w:val="false"/>
                <w:color w:val="000000"/>
                <w:sz w:val="24"/>
                <w:szCs w:val="24"/>
              </w:rPr>
              <w:t xml:space="preserve">Alexander v. Sandoval</w:t>
            </w:r>
            <w:r>
              <w:rPr>
                <w:rFonts w:ascii="Cambria" w:cs="Cambria" w:eastAsia="Cambria" w:hAnsi="Cambria"/>
                <w:b w:val="false"/>
                <w:bCs w:val="false"/>
                <w:i w:val="false"/>
                <w:iCs w:val="false"/>
                <w:strike w:val="false"/>
                <w:color w:val="000000"/>
                <w:sz w:val="20"/>
                <w:szCs w:val="20"/>
              </w:rPr>
              <w:t xml:space="preserve"> (2001) requires clear statutory intent. Courts first created and then restricted implied rights of action.</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first expanded statutory reach by implying private rights of action Congress did not enact, then narrowed it by imposing heightened requirements for finding such rights.</w:t>
            </w:r>
          </w:p>
        </w:tc>
      </w:tr>
      <w:tr>
        <w:trPr>
          <w:tblHeader w:val="false"/>
        </w:trPr>
        <w:tc>
          <w:tcPr>
            <w:tcW w:type="pct" w:w="1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14. Agency Deference</w:t>
            </w:r>
          </w:p>
        </w:tc>
        <w:tc>
          <w:tcPr>
            <w:tcW w:type="pct" w:w="8%"/>
            <w:shd w:fill="E8EEF5" w:color="auto" w:val="clear"/>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Congress assigns specific interpretive authority in some statutes (express delegations) or does not assign such authority. The statute defines the legal rule; agencies execute it.</w:t>
            </w:r>
          </w:p>
        </w:tc>
        <w:tc>
          <w:tcPr>
            <w:tcW w:type="pct" w:w="8%"/>
            <w:shd w:fill="FDF5E6" w:color="auto" w:val="clear"/>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Chevron</w:t>
            </w:r>
            <w:r>
              <w:rPr>
                <w:rFonts w:ascii="Cambria" w:cs="Cambria" w:eastAsia="Cambria" w:hAnsi="Cambria"/>
                <w:b w:val="false"/>
                <w:bCs w:val="false"/>
                <w:i w:val="false"/>
                <w:iCs w:val="false"/>
                <w:strike w:val="false"/>
                <w:color w:val="000000"/>
                <w:sz w:val="20"/>
                <w:szCs w:val="20"/>
              </w:rPr>
              <w:t xml:space="preserve"> deference (1984), </w:t>
            </w:r>
            <w:r>
              <w:rPr>
                <w:rFonts w:ascii="Cambria" w:cs="Cambria" w:eastAsia="Cambria" w:hAnsi="Cambria"/>
                <w:b w:val="false"/>
                <w:bCs w:val="false"/>
                <w:i/>
                <w:iCs/>
                <w:strike w:val="false"/>
                <w:color w:val="000000"/>
                <w:sz w:val="24"/>
                <w:szCs w:val="24"/>
              </w:rPr>
              <w:t xml:space="preserve">Auer/Seminole Rock</w:t>
            </w:r>
            <w:r>
              <w:rPr>
                <w:rFonts w:ascii="Cambria" w:cs="Cambria" w:eastAsia="Cambria" w:hAnsi="Cambria"/>
                <w:b w:val="false"/>
                <w:bCs w:val="false"/>
                <w:i w:val="false"/>
                <w:iCs w:val="false"/>
                <w:strike w:val="false"/>
                <w:color w:val="000000"/>
                <w:sz w:val="20"/>
                <w:szCs w:val="20"/>
              </w:rPr>
              <w:t xml:space="preserve"> deference, </w:t>
            </w:r>
            <w:r>
              <w:rPr>
                <w:rFonts w:ascii="Cambria" w:cs="Cambria" w:eastAsia="Cambria" w:hAnsi="Cambria"/>
                <w:b w:val="false"/>
                <w:bCs w:val="false"/>
                <w:i/>
                <w:iCs/>
                <w:strike w:val="false"/>
                <w:color w:val="000000"/>
                <w:sz w:val="24"/>
                <w:szCs w:val="24"/>
              </w:rPr>
              <w:t xml:space="preserve">Skidmore</w:t>
            </w:r>
            <w:r>
              <w:rPr>
                <w:rFonts w:ascii="Cambria" w:cs="Cambria" w:eastAsia="Cambria" w:hAnsi="Cambria"/>
                <w:b w:val="false"/>
                <w:bCs w:val="false"/>
                <w:i w:val="false"/>
                <w:iCs w:val="false"/>
                <w:strike w:val="false"/>
                <w:color w:val="000000"/>
                <w:sz w:val="20"/>
                <w:szCs w:val="20"/>
              </w:rPr>
              <w:t xml:space="preserve"> persuasiveness—all judicially constructed frameworks for deferring to executive interpretation. </w:t>
            </w:r>
            <w:r>
              <w:rPr>
                <w:rFonts w:ascii="Cambria" w:cs="Cambria" w:eastAsia="Cambria" w:hAnsi="Cambria"/>
                <w:b w:val="false"/>
                <w:bCs w:val="false"/>
                <w:i/>
                <w:iCs/>
                <w:strike w:val="false"/>
                <w:color w:val="000000"/>
                <w:sz w:val="24"/>
                <w:szCs w:val="24"/>
              </w:rPr>
              <w:t xml:space="preserve">Loper Bright Enterprises v. Raimondo</w:t>
            </w:r>
            <w:r>
              <w:rPr>
                <w:rFonts w:ascii="Cambria" w:cs="Cambria" w:eastAsia="Cambria" w:hAnsi="Cambria"/>
                <w:b w:val="false"/>
                <w:bCs w:val="false"/>
                <w:i w:val="false"/>
                <w:iCs w:val="false"/>
                <w:strike w:val="false"/>
                <w:color w:val="000000"/>
                <w:sz w:val="20"/>
                <w:szCs w:val="20"/>
              </w:rPr>
              <w:t xml:space="preserve"> (2024) overruled </w:t>
            </w:r>
            <w:r>
              <w:rPr>
                <w:rFonts w:ascii="Cambria" w:cs="Cambria" w:eastAsia="Cambria" w:hAnsi="Cambria"/>
                <w:b w:val="false"/>
                <w:bCs w:val="false"/>
                <w:i/>
                <w:iCs/>
                <w:strike w:val="false"/>
                <w:color w:val="000000"/>
                <w:sz w:val="24"/>
                <w:szCs w:val="24"/>
              </w:rPr>
              <w:t xml:space="preserve">Chevron</w:t>
            </w:r>
            <w:r>
              <w:rPr>
                <w:rFonts w:ascii="Cambria" w:cs="Cambria" w:eastAsia="Cambria" w:hAnsi="Cambria"/>
                <w:b w:val="false"/>
                <w:bCs w:val="false"/>
                <w:i w:val="false"/>
                <w:iCs w:val="false"/>
                <w:strike w:val="false"/>
                <w:color w:val="000000"/>
                <w:sz w:val="20"/>
                <w:szCs w:val="20"/>
              </w:rPr>
              <w:t xml:space="preserve">, but legacy applications persist.</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Courts created deference frameworks that substituted agency interpretation for independent judicial judgment on questions of statutory meaning, delegating interpretive authority Congress did not assign.</w:t>
            </w:r>
          </w:p>
        </w:tc>
      </w:tr>
    </w:tbl>
    <w:p>
      <w:pPr>
        <w:spacing w:after="200" w:before="0"/>
      </w:pPr>
    </w:p>
    <w:p>
      <w:pPr>
        <w:pBdr>
          <w:bottom w:val="single" w:color="CCCCCC" w:sz="6"/>
        </w:pBdr>
        <w:spacing w:after="240" w:before="240"/>
      </w:pPr>
    </w:p>
    <w:p>
      <w:pPr>
        <w:pStyle w:val="Heading1"/>
        <w:spacing w:after="120" w:before="480" w:line="312" w:lineRule="auto"/>
      </w:pPr>
      <w:r>
        <w:rPr>
          <w:rFonts w:ascii="Cambria" w:cs="Cambria" w:eastAsia="Cambria" w:hAnsi="Cambria"/>
          <w:color w:val="1A2744"/>
          <w:sz w:val="48"/>
          <w:szCs w:val="48"/>
        </w:rPr>
        <w:t xml:space="preserve">APPENDIX — METHODOLOGICAL NOTE</w:t>
      </w:r>
    </w:p>
    <w:p>
      <w:pPr>
        <w:spacing w:after="120" w:before="60" w:line="384" w:lineRule="auto"/>
      </w:pPr>
      <w:r>
        <w:rPr>
          <w:rFonts w:ascii="Cambria" w:cs="Cambria" w:eastAsia="Cambria" w:hAnsi="Cambria"/>
          <w:b/>
          <w:bCs/>
          <w:i w:val="false"/>
          <w:iCs w:val="false"/>
          <w:strike w:val="false"/>
          <w:color w:val="1A2744"/>
          <w:sz w:val="24"/>
          <w:szCs w:val="24"/>
        </w:rPr>
        <w:t xml:space="preserve">¶ 15.</w:t>
      </w:r>
      <w:r>
        <w:rPr>
          <w:rFonts w:ascii="Cambria" w:cs="Cambria" w:eastAsia="Cambria" w:hAnsi="Cambria"/>
          <w:b w:val="false"/>
          <w:bCs w:val="false"/>
          <w:i w:val="false"/>
          <w:iCs w:val="false"/>
          <w:strike w:val="false"/>
          <w:color w:val="000000"/>
          <w:sz w:val="24"/>
          <w:szCs w:val="24"/>
        </w:rPr>
        <w:t xml:space="preserve"> All statutory-side content in this document is derived exclusively from enacted statutory text, including operative provisions, definitions sections, jurisdictional grants, remedial provisions, and express grants of authority. No statutory-side entry incorporates legislative history, committee reports, floor statements, or interpretive glosses of any kind. Where a statutory provision is cited, the citation refers to the text as enacted by Congress and signed into law (or enacted over a veto). The statutory column is intended to represent the law as it exists on the face of the statute book—nothing more and nothing less.</w:t>
      </w:r>
    </w:p>
    <w:p>
      <w:pPr>
        <w:spacing w:after="120" w:before="60" w:line="384" w:lineRule="auto"/>
      </w:pPr>
      <w:r>
        <w:rPr>
          <w:rFonts w:ascii="Cambria" w:cs="Cambria" w:eastAsia="Cambria" w:hAnsi="Cambria"/>
          <w:b/>
          <w:bCs/>
          <w:i w:val="false"/>
          <w:iCs w:val="false"/>
          <w:strike w:val="false"/>
          <w:color w:val="1A2744"/>
          <w:sz w:val="24"/>
          <w:szCs w:val="24"/>
        </w:rPr>
        <w:t xml:space="preserve">¶ 16.</w:t>
      </w:r>
      <w:r>
        <w:rPr>
          <w:rFonts w:ascii="Cambria" w:cs="Cambria" w:eastAsia="Cambria" w:hAnsi="Cambria"/>
          <w:b w:val="false"/>
          <w:bCs w:val="false"/>
          <w:i w:val="false"/>
          <w:iCs w:val="false"/>
          <w:strike w:val="false"/>
          <w:color w:val="000000"/>
          <w:sz w:val="24"/>
          <w:szCs w:val="24"/>
        </w:rPr>
        <w:t xml:space="preserve"> All doctrinal-side content is clearly identified as judicially constructed and is sourced to identified case law, doctrinal frameworks, or judicial tests. No doctrinal-side entry is presented as enacted law. This separation is maintained throughout the document—in the divergence mechanism table (Part I), the flowchart (Part II), the argument (Part III), and the comparison table (Part IV)—to ensure that the reader can distinguish at every point between what Congress enacted and what courts added, subtracted, or substituted. This methodological discipline is essential to the document’s purpose: to equip the practitioner with a clear, reliable map of the boundary between statutory law and judicial doctrine, and to provide the analytical foundation for arguments that the enacted text—not the doctrinal construction—should control.</w:t>
      </w:r>
    </w:p>
    <w:p>
      <w:pPr>
        <w:pBdr>
          <w:bottom w:val="single" w:color="CCCCCC" w:sz="6"/>
        </w:pBdr>
        <w:spacing w:after="240" w:before="240"/>
      </w:pPr>
    </w:p>
    <w:p>
      <w:pPr>
        <w:spacing w:after="120" w:before="60" w:line="384" w:lineRule="auto"/>
        <w:jc w:val="center"/>
      </w:pPr>
      <w:r>
        <w:rPr>
          <w:rFonts w:ascii="Cambria" w:cs="Cambria" w:eastAsia="Cambria" w:hAnsi="Cambria"/>
          <w:b w:val="false"/>
          <w:bCs w:val="false"/>
          <w:i w:val="false"/>
          <w:iCs w:val="false"/>
          <w:strike w:val="false"/>
          <w:color w:val="666666"/>
          <w:sz w:val="24"/>
          <w:szCs w:val="24"/>
        </w:rPr>
        <w:t xml:space="preserve">— END OF MEMORANDUM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kDYeR13FdAo9KxWPZW3VH</dc:title>
  <dc:creator>Un-named</dc:creator>
  <dc:description>Generated document</dc:description>
  <cp:lastModifiedBy>Un-named</cp:lastModifiedBy>
  <cp:revision>1</cp:revision>
  <dcterms:created xsi:type="dcterms:W3CDTF">2026-04-24T23:47:03.072Z</dcterms:created>
  <dcterms:modified xsi:type="dcterms:W3CDTF">2026-04-24T23:47:03.072Z</dcterms:modified>
</cp:coreProperties>
</file>

<file path=docProps/custom.xml><?xml version="1.0" encoding="utf-8"?>
<Properties xmlns="http://schemas.openxmlformats.org/officeDocument/2006/custom-properties" xmlns:vt="http://schemas.openxmlformats.org/officeDocument/2006/docPropsVTypes"/>
</file>