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line="312" w:lineRule="auto"/>
        <w:jc w:val="center"/>
      </w:pPr>
      <w:r>
        <w:rPr>
          <w:rFonts w:ascii="Cambria" w:cs="Cambria" w:eastAsia="Cambria" w:hAnsi="Cambria"/>
          <w:color w:val="000000"/>
          <w:sz w:val="44"/>
          <w:szCs w:val="44"/>
        </w:rPr>
        <w:t xml:space="preserve">PRIVILEGE–FRANCHISE LEGAL ARTIFACTS</w:t>
      </w:r>
    </w:p>
    <w:p>
      <w:pPr>
        <w:spacing w:after="120" w:before="60" w:line="360" w:lineRule="auto"/>
        <w:jc w:val="center"/>
      </w:pPr>
      <w:r>
        <w:rPr>
          <w:rFonts w:ascii="Cambria" w:cs="Cambria" w:eastAsia="Cambria" w:hAnsi="Cambria"/>
          <w:b w:val="false"/>
          <w:bCs w:val="false"/>
          <w:i/>
          <w:iCs/>
          <w:strike w:val="false"/>
          <w:color w:val="000000"/>
          <w:sz w:val="24"/>
          <w:szCs w:val="24"/>
        </w:rPr>
        <w:t xml:space="preserve">Comparison Table, Classification Flowchart, and Litigation Argument</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Prepared for Use in Briefs, Doctrinal Analysis, and Court Filings</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April 19, 2026</w:t>
      </w:r>
    </w:p>
    <w:p>
      <w:pPr>
        <w:pBdr>
          <w:bottom w:val="single" w:color="000000" w:sz="6"/>
        </w:pBdr>
        <w:spacing w:after="240" w:before="240"/>
      </w:pP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This document contains three standalone legal artifacts designed for direct use in litigation, doctrinal analysis, and statutory interpretation. </w:t>
      </w:r>
      <w:r>
        <w:rPr>
          <w:rFonts w:ascii="Cambria" w:cs="Cambria" w:eastAsia="Cambria" w:hAnsi="Cambria"/>
          <w:b/>
          <w:bCs/>
          <w:i w:val="false"/>
          <w:iCs w:val="false"/>
          <w:strike w:val="false"/>
          <w:color w:val="000000"/>
          <w:sz w:val="24"/>
          <w:szCs w:val="24"/>
        </w:rPr>
        <w:t xml:space="preserve">Artifact 1</w:t>
      </w:r>
      <w:r>
        <w:rPr>
          <w:rFonts w:ascii="Cambria" w:cs="Cambria" w:eastAsia="Cambria" w:hAnsi="Cambria"/>
          <w:b w:val="false"/>
          <w:bCs w:val="false"/>
          <w:i w:val="false"/>
          <w:iCs w:val="false"/>
          <w:strike w:val="false"/>
          <w:color w:val="000000"/>
          <w:sz w:val="24"/>
          <w:szCs w:val="24"/>
        </w:rPr>
        <w:t xml:space="preserve"> presents a comprehensive comparison table contrasting civil privileges and civil franchises across fourteen doctrinal dimensions, with inline citation to controlling and persuasive authorities. </w:t>
      </w:r>
      <w:r>
        <w:rPr>
          <w:rFonts w:ascii="Cambria" w:cs="Cambria" w:eastAsia="Cambria" w:hAnsi="Cambria"/>
          <w:b/>
          <w:bCs/>
          <w:i w:val="false"/>
          <w:iCs w:val="false"/>
          <w:strike w:val="false"/>
          <w:color w:val="000000"/>
          <w:sz w:val="24"/>
          <w:szCs w:val="24"/>
        </w:rPr>
        <w:t xml:space="preserve">Artifact 2</w:t>
      </w:r>
      <w:r>
        <w:rPr>
          <w:rFonts w:ascii="Cambria" w:cs="Cambria" w:eastAsia="Cambria" w:hAnsi="Cambria"/>
          <w:b w:val="false"/>
          <w:bCs w:val="false"/>
          <w:i w:val="false"/>
          <w:iCs w:val="false"/>
          <w:strike w:val="false"/>
          <w:color w:val="000000"/>
          <w:sz w:val="24"/>
          <w:szCs w:val="24"/>
        </w:rPr>
        <w:t xml:space="preserve"> provides a stepwise classification flowchart for categorizing any civil statute into one of four legal categories: privilege, franchise, general civil obligation, or political status. </w:t>
      </w:r>
      <w:r>
        <w:rPr>
          <w:rFonts w:ascii="Cambria" w:cs="Cambria" w:eastAsia="Cambria" w:hAnsi="Cambria"/>
          <w:b/>
          <w:bCs/>
          <w:i w:val="false"/>
          <w:iCs w:val="false"/>
          <w:strike w:val="false"/>
          <w:color w:val="000000"/>
          <w:sz w:val="24"/>
          <w:szCs w:val="24"/>
        </w:rPr>
        <w:t xml:space="preserve">Artifact 3</w:t>
      </w:r>
      <w:r>
        <w:rPr>
          <w:rFonts w:ascii="Cambria" w:cs="Cambria" w:eastAsia="Cambria" w:hAnsi="Cambria"/>
          <w:b w:val="false"/>
          <w:bCs w:val="false"/>
          <w:i w:val="false"/>
          <w:iCs w:val="false"/>
          <w:strike w:val="false"/>
          <w:color w:val="000000"/>
          <w:sz w:val="24"/>
          <w:szCs w:val="24"/>
        </w:rPr>
        <w:t xml:space="preserve"> sets forth a concise litigation argument establishing the legal independence of civil privileges and civil franchises as a matter of statutory construction. Each artifact is self-contained and may be excerpted, adapted, or incorporated into memoranda of law, appellate briefs, or judicial opinions without modification to the others.</w:t>
      </w: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333333"/>
          <w:spacing w:val="40"/>
          <w:sz w:val="20"/>
          <w:szCs w:val="20"/>
        </w:rPr>
        <w:t xml:space="preserve">ARTIFACT 1</w:t>
      </w:r>
    </w:p>
    <w:p>
      <w:pPr>
        <w:pStyle w:val="Heading1"/>
        <w:spacing w:after="120" w:before="480" w:line="312" w:lineRule="auto"/>
      </w:pPr>
      <w:r>
        <w:rPr>
          <w:rFonts w:ascii="Cambria" w:cs="Cambria" w:eastAsia="Cambria" w:hAnsi="Cambria"/>
          <w:color w:val="000000"/>
          <w:sz w:val="48"/>
          <w:szCs w:val="48"/>
        </w:rPr>
        <w:t xml:space="preserve">COMPARISON TABLE: CIVIL PRIVILEGES vs. CIVIL FRANCHISES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table compares civil privileges and civil franchises across fourteen doctrinal dimensions. Each cell contains a substantive legal description with inline citations to relevant authorities.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Doctrinal Dimension</w:t>
            </w:r>
          </w:p>
        </w:tc>
        <w:tc>
          <w:tcPr>
            <w:tcW w:type="pct" w:w="4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Civil Privilege</w:t>
            </w:r>
          </w:p>
        </w:tc>
        <w:tc>
          <w:tcPr>
            <w:tcW w:type="pct" w:w="4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Civil Franchise</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 Definition</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special right enjoyed under authority of a license or permit, not possessed by persons generally, granted under the police power of the state. </w:t>
            </w:r>
            <w:r>
              <w:rPr>
                <w:rFonts w:ascii="Cambria" w:cs="Cambria" w:eastAsia="Cambria" w:hAnsi="Cambria"/>
                <w:b w:val="false"/>
                <w:bCs w:val="false"/>
                <w:i/>
                <w:iCs/>
                <w:strike w:val="false"/>
                <w:color w:val="000000"/>
                <w:sz w:val="24"/>
                <w:szCs w:val="24"/>
              </w:rPr>
              <w:t xml:space="preserve">Johnson v. Austin</w:t>
            </w:r>
            <w:r>
              <w:rPr>
                <w:rFonts w:ascii="Cambria" w:cs="Cambria" w:eastAsia="Cambria" w:hAnsi="Cambria"/>
                <w:b w:val="false"/>
                <w:bCs w:val="false"/>
                <w:i w:val="false"/>
                <w:iCs w:val="false"/>
                <w:strike w:val="false"/>
                <w:color w:val="000000"/>
                <w:sz w:val="24"/>
                <w:szCs w:val="24"/>
              </w:rPr>
              <w:t xml:space="preserve">, 674 S.W.2d 894, 903 (Tex. App. 1984).</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special privilege conferred by government on an individual or corporation to do that which does not belong to citizens generally by common right; constitutes a private property right vested in the grantee. 36 Am. Jur. 2d </w:t>
            </w:r>
            <w:r>
              <w:rPr>
                <w:rFonts w:ascii="Cambria" w:cs="Cambria" w:eastAsia="Cambria" w:hAnsi="Cambria"/>
                <w:b w:val="false"/>
                <w:bCs w:val="false"/>
                <w:i/>
                <w:iCs/>
                <w:strike w:val="false"/>
                <w:color w:val="000000"/>
                <w:sz w:val="24"/>
                <w:szCs w:val="24"/>
              </w:rPr>
              <w:t xml:space="preserve">Franchises from Public Entities</w:t>
            </w:r>
            <w:r>
              <w:rPr>
                <w:rFonts w:ascii="Cambria" w:cs="Cambria" w:eastAsia="Cambria" w:hAnsi="Cambria"/>
                <w:b w:val="false"/>
                <w:bCs w:val="false"/>
                <w:i w:val="false"/>
                <w:iCs w:val="false"/>
                <w:strike w:val="false"/>
                <w:color w:val="000000"/>
                <w:sz w:val="24"/>
                <w:szCs w:val="24"/>
              </w:rPr>
              <w:t xml:space="preserve"> § 1.</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 Source of Authority</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Police power of the state; regulatory delegation from the legislature to administrative agencies or executive officers.</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Legislative or ordinance-making power; sovereign grant emanating directly from the lawmaking body or its authorized delegate.</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 Legal Mechanism of Conveyance</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License or permit — a unilateral administrative instrument issued upon application and compliance with regulatory prerequisites. </w:t>
            </w:r>
            <w:r>
              <w:rPr>
                <w:rFonts w:ascii="Cambria" w:cs="Cambria" w:eastAsia="Cambria" w:hAnsi="Cambria"/>
                <w:b w:val="false"/>
                <w:bCs w:val="false"/>
                <w:i/>
                <w:iCs/>
                <w:strike w:val="false"/>
                <w:color w:val="000000"/>
                <w:sz w:val="24"/>
                <w:szCs w:val="24"/>
              </w:rPr>
              <w:t xml:space="preserve">Johnson v. Austin</w:t>
            </w:r>
            <w:r>
              <w:rPr>
                <w:rFonts w:ascii="Cambria" w:cs="Cambria" w:eastAsia="Cambria" w:hAnsi="Cambria"/>
                <w:b w:val="false"/>
                <w:bCs w:val="false"/>
                <w:i w:val="false"/>
                <w:iCs w:val="false"/>
                <w:strike w:val="false"/>
                <w:color w:val="000000"/>
                <w:sz w:val="24"/>
                <w:szCs w:val="24"/>
              </w:rPr>
              <w:t xml:space="preserve">, 674 S.W.2d at 903.</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Contract between the sovereign and the grantee — a bilateral agreement requiring mutual assent, consideration, and defined terms. </w:t>
            </w:r>
            <w:r>
              <w:rPr>
                <w:rFonts w:ascii="Cambria" w:cs="Cambria" w:eastAsia="Cambria" w:hAnsi="Cambria"/>
                <w:b w:val="false"/>
                <w:bCs w:val="false"/>
                <w:i/>
                <w:iCs/>
                <w:strike w:val="false"/>
                <w:color w:val="000000"/>
                <w:sz w:val="24"/>
                <w:szCs w:val="24"/>
              </w:rPr>
              <w:t xml:space="preserve">Johnson v. Austin</w:t>
            </w:r>
            <w:r>
              <w:rPr>
                <w:rFonts w:ascii="Cambria" w:cs="Cambria" w:eastAsia="Cambria" w:hAnsi="Cambria"/>
                <w:b w:val="false"/>
                <w:bCs w:val="false"/>
                <w:i w:val="false"/>
                <w:iCs w:val="false"/>
                <w:strike w:val="false"/>
                <w:color w:val="000000"/>
                <w:sz w:val="24"/>
                <w:szCs w:val="24"/>
              </w:rPr>
              <w:t xml:space="preserve">, 674 S.W.2d at 903; </w:t>
            </w:r>
            <w:r>
              <w:rPr>
                <w:rFonts w:ascii="Cambria" w:cs="Cambria" w:eastAsia="Cambria" w:hAnsi="Cambria"/>
                <w:b w:val="false"/>
                <w:bCs w:val="false"/>
                <w:i/>
                <w:iCs/>
                <w:strike w:val="false"/>
                <w:color w:val="000000"/>
                <w:sz w:val="24"/>
                <w:szCs w:val="24"/>
              </w:rPr>
              <w:t xml:space="preserve">see also</w:t>
            </w:r>
            <w:r>
              <w:rPr>
                <w:rFonts w:ascii="Cambria" w:cs="Cambria" w:eastAsia="Cambria" w:hAnsi="Cambria"/>
                <w:b w:val="false"/>
                <w:bCs w:val="false"/>
                <w:i w:val="false"/>
                <w:iCs w:val="false"/>
                <w:strike w:val="false"/>
                <w:color w:val="000000"/>
                <w:sz w:val="24"/>
                <w:szCs w:val="24"/>
              </w:rPr>
              <w:t xml:space="preserve"> 36 Am. Jur. 2d </w:t>
            </w:r>
            <w:r>
              <w:rPr>
                <w:rFonts w:ascii="Cambria" w:cs="Cambria" w:eastAsia="Cambria" w:hAnsi="Cambria"/>
                <w:b w:val="false"/>
                <w:bCs w:val="false"/>
                <w:i/>
                <w:iCs/>
                <w:strike w:val="false"/>
                <w:color w:val="000000"/>
                <w:sz w:val="24"/>
                <w:szCs w:val="24"/>
              </w:rPr>
              <w:t xml:space="preserve">Franchises from Public Entities</w:t>
            </w:r>
            <w:r>
              <w:rPr>
                <w:rFonts w:ascii="Cambria" w:cs="Cambria" w:eastAsia="Cambria" w:hAnsi="Cambria"/>
                <w:b w:val="false"/>
                <w:bCs w:val="false"/>
                <w:i w:val="false"/>
                <w:iCs w:val="false"/>
                <w:strike w:val="false"/>
                <w:color w:val="000000"/>
                <w:sz w:val="24"/>
                <w:szCs w:val="24"/>
              </w:rPr>
              <w:t xml:space="preserve"> § 4.</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 Nature of Property Conveyed</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Temporary use of </w:t>
            </w:r>
            <w:r>
              <w:rPr>
                <w:rFonts w:ascii="Cambria" w:cs="Cambria" w:eastAsia="Cambria" w:hAnsi="Cambria"/>
                <w:b w:val="false"/>
                <w:bCs w:val="false"/>
                <w:i/>
                <w:iCs/>
                <w:strike w:val="false"/>
                <w:color w:val="000000"/>
                <w:sz w:val="24"/>
                <w:szCs w:val="24"/>
              </w:rPr>
              <w:t xml:space="preserve">public</w:t>
            </w:r>
            <w:r>
              <w:rPr>
                <w:rFonts w:ascii="Cambria" w:cs="Cambria" w:eastAsia="Cambria" w:hAnsi="Cambria"/>
                <w:b w:val="false"/>
                <w:bCs w:val="false"/>
                <w:i w:val="false"/>
                <w:iCs w:val="false"/>
                <w:strike w:val="false"/>
                <w:color w:val="000000"/>
                <w:sz w:val="24"/>
                <w:szCs w:val="24"/>
              </w:rPr>
              <w:t xml:space="preserve"> property or public resources; no vested private property right is created. The licensee holds a revocable permission, not an estate.</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Grant of a </w:t>
            </w:r>
            <w:r>
              <w:rPr>
                <w:rFonts w:ascii="Cambria" w:cs="Cambria" w:eastAsia="Cambria" w:hAnsi="Cambria"/>
                <w:b w:val="false"/>
                <w:bCs w:val="false"/>
                <w:i/>
                <w:iCs/>
                <w:strike w:val="false"/>
                <w:color w:val="000000"/>
                <w:sz w:val="24"/>
                <w:szCs w:val="24"/>
              </w:rPr>
              <w:t xml:space="preserve">private</w:t>
            </w:r>
            <w:r>
              <w:rPr>
                <w:rFonts w:ascii="Cambria" w:cs="Cambria" w:eastAsia="Cambria" w:hAnsi="Cambria"/>
                <w:b w:val="false"/>
                <w:bCs w:val="false"/>
                <w:i w:val="false"/>
                <w:iCs w:val="false"/>
                <w:strike w:val="false"/>
                <w:color w:val="000000"/>
                <w:sz w:val="24"/>
                <w:szCs w:val="24"/>
              </w:rPr>
              <w:t xml:space="preserve">, constitutionally protected property right. The franchise itself is property capable of valuation, alienation, and taxation. </w:t>
            </w:r>
            <w:r>
              <w:rPr>
                <w:rFonts w:ascii="Cambria" w:cs="Cambria" w:eastAsia="Cambria" w:hAnsi="Cambria"/>
                <w:b w:val="false"/>
                <w:bCs w:val="false"/>
                <w:i/>
                <w:iCs/>
                <w:strike w:val="false"/>
                <w:color w:val="000000"/>
                <w:sz w:val="24"/>
                <w:szCs w:val="24"/>
              </w:rPr>
              <w:t xml:space="preserve">Central Waterworks, Inc. v. Town of Century</w:t>
            </w:r>
            <w:r>
              <w:rPr>
                <w:rFonts w:ascii="Cambria" w:cs="Cambria" w:eastAsia="Cambria" w:hAnsi="Cambria"/>
                <w:b w:val="false"/>
                <w:bCs w:val="false"/>
                <w:i w:val="false"/>
                <w:iCs w:val="false"/>
                <w:strike w:val="false"/>
                <w:color w:val="000000"/>
                <w:sz w:val="24"/>
                <w:szCs w:val="24"/>
              </w:rPr>
              <w:t xml:space="preserve">, 754 So. 2d 814, 818 (Fla. Dist. Ct. App. 2000); </w:t>
            </w:r>
            <w:r>
              <w:rPr>
                <w:rFonts w:ascii="Cambria" w:cs="Cambria" w:eastAsia="Cambria" w:hAnsi="Cambria"/>
                <w:b w:val="false"/>
                <w:bCs w:val="false"/>
                <w:i/>
                <w:iCs/>
                <w:strike w:val="false"/>
                <w:color w:val="000000"/>
                <w:sz w:val="24"/>
                <w:szCs w:val="24"/>
              </w:rPr>
              <w:t xml:space="preserve">In re South Bay Expressway, L.P.</w:t>
            </w:r>
            <w:r>
              <w:rPr>
                <w:rFonts w:ascii="Cambria" w:cs="Cambria" w:eastAsia="Cambria" w:hAnsi="Cambria"/>
                <w:b w:val="false"/>
                <w:bCs w:val="false"/>
                <w:i w:val="false"/>
                <w:iCs w:val="false"/>
                <w:strike w:val="false"/>
                <w:color w:val="000000"/>
                <w:sz w:val="24"/>
                <w:szCs w:val="24"/>
              </w:rPr>
              <w:t xml:space="preserve">, 434 B.R. 589, 598–99 (Bankr. S.D. Cal. 2010).</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5. Duration and Revocability</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Generally revocable at will by the granting authority; temporary and conditional. Duration is subject to ongoing regulatory compliance and may be curtailed without triggering constitutional scrutiny.</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Fixed term per contract; revocable only for cause or per express contract terms. Protected by the Contract Clause, U.S. Const. art. I, § 10, cl. 1 (prohibiting state impairment of the obligation of contracts).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6. Constitutional Protection</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Minimal. Subject to regulatory modification, suspension, or revocation without triggering takings, due-process, or contract-clause scrutiny.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rational-basis review under police-power jurisprudence.</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Robust. Protected under the Due Process Clause (U.S. Const. amends. V, XIV); the Takings Clause (U.S. Const. amend. V); and the Contract Clause (U.S. Const. art. I, § 10). Deprivation requires procedural and substantive due process.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7. Consent Requirement</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Implied or constructive consent, inferred from the act of applying for a license or permit and submitting to regulatory jurisdiction.</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Express, affirmative consent of the grantee. A franchise arises only upon bilateral agreement; neither party is bound absent mutual assent.</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8. Transferability</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Generally non-transferable; personal to the licensee. Assignment or delegation is prohibited absent express statutory or regulatory authorization.</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Transferable as property, subject to contractual terms and sovereign approval. The franchise right may be assigned, conveyed, or encumbered as an asset. </w:t>
            </w:r>
            <w:r>
              <w:rPr>
                <w:rFonts w:ascii="Cambria" w:cs="Cambria" w:eastAsia="Cambria" w:hAnsi="Cambria"/>
                <w:b w:val="false"/>
                <w:bCs w:val="false"/>
                <w:i/>
                <w:iCs/>
                <w:strike w:val="false"/>
                <w:color w:val="000000"/>
                <w:sz w:val="24"/>
                <w:szCs w:val="24"/>
              </w:rPr>
              <w:t xml:space="preserve">In re South Bay Expressway</w:t>
            </w:r>
            <w:r>
              <w:rPr>
                <w:rFonts w:ascii="Cambria" w:cs="Cambria" w:eastAsia="Cambria" w:hAnsi="Cambria"/>
                <w:b w:val="false"/>
                <w:bCs w:val="false"/>
                <w:i w:val="false"/>
                <w:iCs w:val="false"/>
                <w:strike w:val="false"/>
                <w:color w:val="000000"/>
                <w:sz w:val="24"/>
                <w:szCs w:val="24"/>
              </w:rPr>
              <w:t xml:space="preserve">, 434 B.R. at 599.</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9. Taxability</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Subject to regulatory fees, application charges, and renewal costs, but not typically taxed as property. Fees are imposed under the police power as cost-recovery mechanisms.</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Taxable as property. A franchise tax is recognized as a property tax on the right itself — the intangible value of the sovereign grant. </w:t>
            </w:r>
            <w:r>
              <w:rPr>
                <w:rFonts w:ascii="Cambria" w:cs="Cambria" w:eastAsia="Cambria" w:hAnsi="Cambria"/>
                <w:b w:val="false"/>
                <w:bCs w:val="false"/>
                <w:i/>
                <w:iCs/>
                <w:strike w:val="false"/>
                <w:color w:val="000000"/>
                <w:sz w:val="24"/>
                <w:szCs w:val="24"/>
              </w:rPr>
              <w:t xml:space="preserve">In re South Bay Expressway</w:t>
            </w:r>
            <w:r>
              <w:rPr>
                <w:rFonts w:ascii="Cambria" w:cs="Cambria" w:eastAsia="Cambria" w:hAnsi="Cambria"/>
                <w:b w:val="false"/>
                <w:bCs w:val="false"/>
                <w:i w:val="false"/>
                <w:iCs w:val="false"/>
                <w:strike w:val="false"/>
                <w:color w:val="000000"/>
                <w:sz w:val="24"/>
                <w:szCs w:val="24"/>
              </w:rPr>
              <w:t xml:space="preserve">, 434 B.R. at 598–99.</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10. Relationship to Common Right</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Regulates an activity that may or may not be a common right. Often restricts or conditions a pre-existing liberty —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the common-law right to travel is conditioned by a driver's license requirement.</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Grants a right that does </w:t>
            </w:r>
            <w:r>
              <w:rPr>
                <w:rFonts w:ascii="Cambria" w:cs="Cambria" w:eastAsia="Cambria" w:hAnsi="Cambria"/>
                <w:b w:val="false"/>
                <w:bCs w:val="false"/>
                <w:i/>
                <w:iCs/>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exist as a common right. The franchise confers authority to do what cannot be done without express permission of the sovereign —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operating a public utility within a municipality's exclusive jurisdiction.</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11. Set-Theoretic Relationship</w:t>
            </w:r>
          </w:p>
        </w:tc>
        <w:tc>
          <w:tcPr>
            <w:tcW w:type="pct" w:w="43%"/>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All franchises are privileges, but not all privileges are franchises. A franchise is a </w:t>
            </w:r>
            <w:r>
              <w:rPr>
                <w:rFonts w:ascii="Cambria" w:cs="Cambria" w:eastAsia="Cambria" w:hAnsi="Cambria"/>
                <w:b w:val="false"/>
                <w:bCs w:val="false"/>
                <w:i/>
                <w:iCs/>
                <w:strike w:val="false"/>
                <w:color w:val="000000"/>
                <w:sz w:val="24"/>
                <w:szCs w:val="24"/>
              </w:rPr>
              <w:t xml:space="preserve">species</w:t>
            </w:r>
            <w:r>
              <w:rPr>
                <w:rFonts w:ascii="Cambria" w:cs="Cambria" w:eastAsia="Cambria" w:hAnsi="Cambria"/>
                <w:b w:val="false"/>
                <w:bCs w:val="false"/>
                <w:i w:val="false"/>
                <w:iCs w:val="false"/>
                <w:strike w:val="false"/>
                <w:color w:val="000000"/>
                <w:sz w:val="24"/>
                <w:szCs w:val="24"/>
              </w:rPr>
              <w:t xml:space="preserve"> of privilege possessing additional contractual and property characteristics that elevate it beyond the genus of mere regulatory permissions. The franchise is a proper subset of the broader privilege category.</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12. Governing Body of Law</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Administrative law; police-power jurisprudence; licensing statutes; regulatory agency rules and adjudicatory proceedings.</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Contract law; property law; municipal corporation law; constitutional law (Contract Clause, Due Process, Takings). Franchise disputes are cognizable in courts of general jurisdiction.</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13. Remedy for Wrongful Deprivation</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Administrative appeal; petition for writ of mandamus; limited constitutional remedies (procedural due process where a protected interest is identified). Damages are generally unavailable.</w:t>
            </w:r>
          </w:p>
        </w:tc>
        <w:tc>
          <w:tcPr>
            <w:tcW w:type="pct" w:w="4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Breach of contract; inverse condemnation; action under 42 U.S.C. § 1983 for deprivation of property under color of law; full constitutional remedies including compensatory damages, injunctive relief, and declaratory judgment.</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14. Cross-Title Statutory Examples</w:t>
            </w:r>
          </w:p>
        </w:tc>
        <w:tc>
          <w:tcPr>
            <w:tcW w:type="pct" w:w="4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Privilege examples:</w:t>
            </w:r>
            <w:r>
              <w:rPr>
                <w:rFonts w:ascii="Cambria" w:cs="Cambria" w:eastAsia="Cambria" w:hAnsi="Cambria"/>
                <w:b w:val="false"/>
                <w:bCs w:val="false"/>
                <w:i w:val="false"/>
                <w:iCs w:val="false"/>
                <w:strike w:val="false"/>
                <w:color w:val="000000"/>
                <w:sz w:val="24"/>
                <w:szCs w:val="24"/>
              </w:rPr>
              <w:t xml:space="preserve"> Driver's license (state vehicle codes); professional licenses —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medical, legal (Title 29 occupational statutes); building and construction permits; liquor licenses; concealed-carry permits.</w:t>
            </w:r>
          </w:p>
        </w:tc>
        <w:tc>
          <w:tcPr>
            <w:tcW w:type="pct" w:w="45%"/>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Franchise examples:</w:t>
            </w:r>
            <w:r>
              <w:rPr>
                <w:rFonts w:ascii="Cambria" w:cs="Cambria" w:eastAsia="Cambria" w:hAnsi="Cambria"/>
                <w:b w:val="false"/>
                <w:bCs w:val="false"/>
                <w:i w:val="false"/>
                <w:iCs w:val="false"/>
                <w:strike w:val="false"/>
                <w:color w:val="000000"/>
                <w:sz w:val="24"/>
                <w:szCs w:val="24"/>
              </w:rPr>
              <w:t xml:space="preserve"> Public utility franchise (municipal codes); corporate charter (state corporation statutes); broadcast license as franchise (47 U.S.C. §§ 521–573); toll road concession agreements; cable television franchises.</w:t>
            </w:r>
          </w:p>
        </w:tc>
      </w:tr>
    </w:tbl>
    <w:p>
      <w:pPr>
        <w:spacing w:after="200" w:before="0"/>
      </w:pP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333333"/>
          <w:spacing w:val="40"/>
          <w:sz w:val="20"/>
          <w:szCs w:val="20"/>
        </w:rPr>
        <w:t xml:space="preserve">ARTIFACT 2</w:t>
      </w:r>
    </w:p>
    <w:p>
      <w:pPr>
        <w:pStyle w:val="Heading1"/>
        <w:spacing w:after="120" w:before="480" w:line="312" w:lineRule="auto"/>
      </w:pPr>
      <w:r>
        <w:rPr>
          <w:rFonts w:ascii="Cambria" w:cs="Cambria" w:eastAsia="Cambria" w:hAnsi="Cambria"/>
          <w:color w:val="000000"/>
          <w:sz w:val="48"/>
          <w:szCs w:val="48"/>
        </w:rPr>
        <w:t xml:space="preserve">CLASSIFICATION FLOWCHART: STEPWISE DECISION STRUCTURE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decision structure classifies any civil statute into one of four categories: </w:t>
      </w:r>
      <w:r>
        <w:rPr>
          <w:rFonts w:ascii="Cambria" w:cs="Cambria" w:eastAsia="Cambria" w:hAnsi="Cambria"/>
          <w:b/>
          <w:bCs/>
          <w:i w:val="false"/>
          <w:iCs w:val="false"/>
          <w:strike w:val="false"/>
          <w:color w:val="000000"/>
          <w:sz w:val="24"/>
          <w:szCs w:val="24"/>
        </w:rPr>
        <w:t xml:space="preserve">Privilege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Franchise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General Civil Obligation</w:t>
      </w:r>
      <w:r>
        <w:rPr>
          <w:rFonts w:ascii="Cambria" w:cs="Cambria" w:eastAsia="Cambria" w:hAnsi="Cambria"/>
          <w:b w:val="false"/>
          <w:bCs w:val="false"/>
          <w:i w:val="false"/>
          <w:iCs w:val="false"/>
          <w:strike w:val="false"/>
          <w:color w:val="000000"/>
          <w:sz w:val="24"/>
          <w:szCs w:val="24"/>
        </w:rPr>
        <w:t xml:space="preserve">, or </w:t>
      </w:r>
      <w:r>
        <w:rPr>
          <w:rFonts w:ascii="Cambria" w:cs="Cambria" w:eastAsia="Cambria" w:hAnsi="Cambria"/>
          <w:b/>
          <w:bCs/>
          <w:i w:val="false"/>
          <w:iCs w:val="false"/>
          <w:strike w:val="false"/>
          <w:color w:val="000000"/>
          <w:sz w:val="24"/>
          <w:szCs w:val="24"/>
        </w:rPr>
        <w:t xml:space="preserve">Political Status</w:t>
      </w:r>
      <w:r>
        <w:rPr>
          <w:rFonts w:ascii="Cambria" w:cs="Cambria" w:eastAsia="Cambria" w:hAnsi="Cambria"/>
          <w:b w:val="false"/>
          <w:bCs w:val="false"/>
          <w:i w:val="false"/>
          <w:iCs w:val="false"/>
          <w:strike w:val="false"/>
          <w:color w:val="000000"/>
          <w:sz w:val="24"/>
          <w:szCs w:val="24"/>
        </w:rPr>
        <w:t xml:space="preserve">. Apply each step sequentially. At each decision point, follow the indicated branch.</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AFAFA" w:color="auto" w:val="clear"/>
            <w:tcMar>
              <w:top w:type="dxa" w:w="150"/>
              <w:left w:type="dxa" w:w="210"/>
              <w:bottom w:type="dxa" w:w="150"/>
              <w:right w:type="dxa" w:w="210"/>
            </w:tcMar>
          </w:tcPr>
          <w:p>
            <w:pPr>
              <w:spacing w:after="80" w:line="360" w:lineRule="auto"/>
            </w:pPr>
            <w:r>
              <w:rPr>
                <w:rFonts w:ascii="Cambria" w:cs="Cambria" w:eastAsia="Cambria" w:hAnsi="Cambria"/>
                <w:b/>
                <w:bCs/>
                <w:i w:val="false"/>
                <w:iCs w:val="false"/>
                <w:strike w:val="false"/>
                <w:color w:val="000000"/>
                <w:sz w:val="24"/>
                <w:szCs w:val="24"/>
              </w:rPr>
              <w:t xml:space="preserve">STEP 1: SOVEREIGN GRANT INQUIRY</w:t>
            </w:r>
          </w:p>
          <w:p>
            <w:pPr>
              <w:spacing w:after="120" w:line="360" w:lineRule="auto"/>
            </w:pPr>
            <w:r>
              <w:rPr>
                <w:rFonts w:ascii="Cambria" w:cs="Cambria" w:eastAsia="Cambria" w:hAnsi="Cambria"/>
                <w:b/>
                <w:bCs/>
                <w:i w:val="false"/>
                <w:iCs w:val="false"/>
                <w:strike w:val="false"/>
                <w:color w:val="000000"/>
                <w:sz w:val="24"/>
                <w:szCs w:val="24"/>
              </w:rPr>
              <w:t xml:space="preserve">Question:</w:t>
            </w:r>
            <w:r>
              <w:rPr>
                <w:rFonts w:ascii="Cambria" w:cs="Cambria" w:eastAsia="Cambria" w:hAnsi="Cambria"/>
                <w:b w:val="false"/>
                <w:bCs w:val="false"/>
                <w:i w:val="false"/>
                <w:iCs w:val="false"/>
                <w:strike w:val="false"/>
                <w:color w:val="000000"/>
                <w:sz w:val="24"/>
                <w:szCs w:val="24"/>
              </w:rPr>
              <w:t xml:space="preserve"> Does the statute create, define, or regulate a specific grant from the sovereign to an identified person or class?</w:t>
            </w:r>
          </w:p>
          <w:p>
            <w:pPr>
              <w:spacing w:after="40" w:line="360" w:lineRule="auto"/>
            </w:pPr>
            <w:r>
              <w:rPr>
                <w:rFonts w:ascii="Cambria" w:cs="Cambria" w:eastAsia="Cambria" w:hAnsi="Cambria"/>
                <w:b w:val="false"/>
                <w:bCs w:val="false"/>
                <w:i/>
                <w:iCs/>
                <w:strike w:val="false"/>
                <w:color w:val="000000"/>
                <w:sz w:val="24"/>
                <w:szCs w:val="24"/>
              </w:rPr>
              <w:t xml:space="preserve">Key Indicators:</w:t>
            </w:r>
            <w:r>
              <w:rPr>
                <w:rFonts w:ascii="Cambria" w:cs="Cambria" w:eastAsia="Cambria" w:hAnsi="Cambria"/>
                <w:b w:val="false"/>
                <w:bCs w:val="false"/>
                <w:i w:val="false"/>
                <w:iCs w:val="false"/>
                <w:strike w:val="false"/>
                <w:color w:val="000000"/>
                <w:sz w:val="24"/>
                <w:szCs w:val="24"/>
              </w:rPr>
              <w:t xml:space="preserve"> The statute uses terms such as "grant," "license," "permit," "franchise," "charter," "concession," or "authorization." It identifies a specific grantee or class of grantees and confers a right, permission, or authority not held by the general public.</w:t>
            </w:r>
          </w:p>
          <w:p>
            <w:pPr>
              <w:spacing w:after="40" w:line="360" w:lineRule="auto"/>
            </w:pPr>
            <w:r>
              <w:rPr>
                <w:rFonts w:ascii="Cambria" w:cs="Cambria" w:eastAsia="Cambria" w:hAnsi="Cambria"/>
                <w:b w:val="false"/>
                <w:bCs w:val="false"/>
                <w:i/>
                <w:iCs/>
                <w:strike w:val="false"/>
                <w:color w:val="000000"/>
                <w:sz w:val="24"/>
                <w:szCs w:val="24"/>
              </w:rPr>
              <w:t xml:space="preserve">Example:</w:t>
            </w:r>
            <w:r>
              <w:rPr>
                <w:rFonts w:ascii="Cambria" w:cs="Cambria" w:eastAsia="Cambria" w:hAnsi="Cambria"/>
                <w:b w:val="false"/>
                <w:bCs w:val="false"/>
                <w:i w:val="false"/>
                <w:iCs w:val="false"/>
                <w:strike w:val="false"/>
                <w:color w:val="000000"/>
                <w:sz w:val="24"/>
                <w:szCs w:val="24"/>
              </w:rPr>
              <w:t xml:space="preserve"> A state vehicle code provision establishing a driver's license requirement (grant to identified applicants). </w:t>
            </w:r>
            <w:r>
              <w:rPr>
                <w:rFonts w:ascii="Cambria" w:cs="Cambria" w:eastAsia="Cambria" w:hAnsi="Cambria"/>
                <w:b w:val="false"/>
                <w:bCs w:val="false"/>
                <w:i/>
                <w:iCs/>
                <w:strike w:val="false"/>
                <w:color w:val="000000"/>
                <w:sz w:val="24"/>
                <w:szCs w:val="24"/>
              </w:rPr>
              <w:t xml:space="preserve">Cf.</w:t>
            </w:r>
            <w:r>
              <w:rPr>
                <w:rFonts w:ascii="Cambria" w:cs="Cambria" w:eastAsia="Cambria" w:hAnsi="Cambria"/>
                <w:b w:val="false"/>
                <w:bCs w:val="false"/>
                <w:i w:val="false"/>
                <w:iCs w:val="false"/>
                <w:strike w:val="false"/>
                <w:color w:val="000000"/>
                <w:sz w:val="24"/>
                <w:szCs w:val="24"/>
              </w:rPr>
              <w:t xml:space="preserve"> a tort statute imposing a general duty of care (no specific grant).</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A sovereign grant is present or regulated. → </w:t>
            </w:r>
            <w:r>
              <w:rPr>
                <w:rFonts w:ascii="Cambria" w:cs="Cambria" w:eastAsia="Cambria" w:hAnsi="Cambria"/>
                <w:b/>
                <w:bCs/>
                <w:i w:val="false"/>
                <w:iCs w:val="false"/>
                <w:strike w:val="false"/>
                <w:color w:val="000000"/>
                <w:sz w:val="24"/>
                <w:szCs w:val="24"/>
              </w:rPr>
              <w:t xml:space="preserve">Proceed to Step 2.</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 No specific grant is identified. → </w:t>
            </w:r>
            <w:r>
              <w:rPr>
                <w:rFonts w:ascii="Cambria" w:cs="Cambria" w:eastAsia="Cambria" w:hAnsi="Cambria"/>
                <w:b/>
                <w:bCs/>
                <w:i w:val="false"/>
                <w:iCs w:val="false"/>
                <w:strike w:val="false"/>
                <w:color w:val="000000"/>
                <w:sz w:val="24"/>
                <w:szCs w:val="24"/>
              </w:rPr>
              <w:t xml:space="preserve">Proceed to Step 5.</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AFAFA" w:color="auto" w:val="clear"/>
            <w:tcMar>
              <w:top w:type="dxa" w:w="150"/>
              <w:left w:type="dxa" w:w="210"/>
              <w:bottom w:type="dxa" w:w="150"/>
              <w:right w:type="dxa" w:w="210"/>
            </w:tcMar>
          </w:tcPr>
          <w:p>
            <w:pPr>
              <w:spacing w:after="80" w:line="360" w:lineRule="auto"/>
            </w:pPr>
            <w:r>
              <w:rPr>
                <w:rFonts w:ascii="Cambria" w:cs="Cambria" w:eastAsia="Cambria" w:hAnsi="Cambria"/>
                <w:b/>
                <w:bCs/>
                <w:i w:val="false"/>
                <w:iCs w:val="false"/>
                <w:strike w:val="false"/>
                <w:color w:val="000000"/>
                <w:sz w:val="24"/>
                <w:szCs w:val="24"/>
              </w:rPr>
              <w:t xml:space="preserve">STEP 2: BILATERAL CONTRACT INQUIRY</w:t>
            </w:r>
          </w:p>
          <w:p>
            <w:pPr>
              <w:spacing w:after="120" w:line="360" w:lineRule="auto"/>
            </w:pPr>
            <w:r>
              <w:rPr>
                <w:rFonts w:ascii="Cambria" w:cs="Cambria" w:eastAsia="Cambria" w:hAnsi="Cambria"/>
                <w:b/>
                <w:bCs/>
                <w:i w:val="false"/>
                <w:iCs w:val="false"/>
                <w:strike w:val="false"/>
                <w:color w:val="000000"/>
                <w:sz w:val="24"/>
                <w:szCs w:val="24"/>
              </w:rPr>
              <w:t xml:space="preserve">Question:</w:t>
            </w:r>
            <w:r>
              <w:rPr>
                <w:rFonts w:ascii="Cambria" w:cs="Cambria" w:eastAsia="Cambria" w:hAnsi="Cambria"/>
                <w:b w:val="false"/>
                <w:bCs w:val="false"/>
                <w:i w:val="false"/>
                <w:iCs w:val="false"/>
                <w:strike w:val="false"/>
                <w:color w:val="000000"/>
                <w:sz w:val="24"/>
                <w:szCs w:val="24"/>
              </w:rPr>
              <w:t xml:space="preserve"> Does the grant require express, affirmative consent of the grantee and create a bilateral contractual relationship between the sovereign and the grantee?</w:t>
            </w:r>
          </w:p>
          <w:p>
            <w:pPr>
              <w:spacing w:after="40" w:line="360" w:lineRule="auto"/>
            </w:pPr>
            <w:r>
              <w:rPr>
                <w:rFonts w:ascii="Cambria" w:cs="Cambria" w:eastAsia="Cambria" w:hAnsi="Cambria"/>
                <w:b w:val="false"/>
                <w:bCs w:val="false"/>
                <w:i/>
                <w:iCs/>
                <w:strike w:val="false"/>
                <w:color w:val="000000"/>
                <w:sz w:val="24"/>
                <w:szCs w:val="24"/>
              </w:rPr>
              <w:t xml:space="preserve">Key Indicators:</w:t>
            </w:r>
            <w:r>
              <w:rPr>
                <w:rFonts w:ascii="Cambria" w:cs="Cambria" w:eastAsia="Cambria" w:hAnsi="Cambria"/>
                <w:b w:val="false"/>
                <w:bCs w:val="false"/>
                <w:i w:val="false"/>
                <w:iCs w:val="false"/>
                <w:strike w:val="false"/>
                <w:color w:val="000000"/>
                <w:sz w:val="24"/>
                <w:szCs w:val="24"/>
              </w:rPr>
              <w:t xml:space="preserve"> The statute requires execution of a written agreement, mutual obligations, defined consideration, a fixed term, and negotiated or prescribed terms and conditions. Both parties — sovereign and grantee — undertake enforceable obligations.</w:t>
            </w:r>
          </w:p>
          <w:p>
            <w:pPr>
              <w:spacing w:after="40" w:line="360" w:lineRule="auto"/>
            </w:pPr>
            <w:r>
              <w:rPr>
                <w:rFonts w:ascii="Cambria" w:cs="Cambria" w:eastAsia="Cambria" w:hAnsi="Cambria"/>
                <w:b w:val="false"/>
                <w:bCs w:val="false"/>
                <w:i/>
                <w:iCs/>
                <w:strike w:val="false"/>
                <w:color w:val="000000"/>
                <w:sz w:val="24"/>
                <w:szCs w:val="24"/>
              </w:rPr>
              <w:t xml:space="preserve">Example:</w:t>
            </w:r>
            <w:r>
              <w:rPr>
                <w:rFonts w:ascii="Cambria" w:cs="Cambria" w:eastAsia="Cambria" w:hAnsi="Cambria"/>
                <w:b w:val="false"/>
                <w:bCs w:val="false"/>
                <w:i w:val="false"/>
                <w:iCs w:val="false"/>
                <w:strike w:val="false"/>
                <w:color w:val="000000"/>
                <w:sz w:val="24"/>
                <w:szCs w:val="24"/>
              </w:rPr>
              <w:t xml:space="preserve"> A municipal utility franchise ordinance requiring a utility company to execute a franchise agreement specifying service obligations, duration, and franchise fees. </w:t>
            </w:r>
            <w:r>
              <w:rPr>
                <w:rFonts w:ascii="Cambria" w:cs="Cambria" w:eastAsia="Cambria" w:hAnsi="Cambria"/>
                <w:b w:val="false"/>
                <w:bCs w:val="false"/>
                <w:i/>
                <w:iCs/>
                <w:strike w:val="false"/>
                <w:color w:val="000000"/>
                <w:sz w:val="24"/>
                <w:szCs w:val="24"/>
              </w:rPr>
              <w:t xml:space="preserve">Cf.</w:t>
            </w:r>
            <w:r>
              <w:rPr>
                <w:rFonts w:ascii="Cambria" w:cs="Cambria" w:eastAsia="Cambria" w:hAnsi="Cambria"/>
                <w:b w:val="false"/>
                <w:bCs w:val="false"/>
                <w:i w:val="false"/>
                <w:iCs w:val="false"/>
                <w:strike w:val="false"/>
                <w:color w:val="000000"/>
                <w:sz w:val="24"/>
                <w:szCs w:val="24"/>
              </w:rPr>
              <w:t xml:space="preserve"> a professional license issued upon unilateral application (no bilateral contract).</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Bilateral contractual relationship exists. → </w:t>
            </w:r>
            <w:r>
              <w:rPr>
                <w:rFonts w:ascii="Cambria" w:cs="Cambria" w:eastAsia="Cambria" w:hAnsi="Cambria"/>
                <w:b/>
                <w:bCs/>
                <w:i w:val="false"/>
                <w:iCs w:val="false"/>
                <w:strike w:val="false"/>
                <w:color w:val="000000"/>
                <w:sz w:val="24"/>
                <w:szCs w:val="24"/>
              </w:rPr>
              <w:t xml:space="preserve">Proceed to Step 3.</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 No bilateral contract; grant is unilateral or administrative. → </w:t>
            </w:r>
            <w:r>
              <w:rPr>
                <w:rFonts w:ascii="Cambria" w:cs="Cambria" w:eastAsia="Cambria" w:hAnsi="Cambria"/>
                <w:b/>
                <w:bCs/>
                <w:i w:val="false"/>
                <w:iCs w:val="false"/>
                <w:strike w:val="false"/>
                <w:color w:val="000000"/>
                <w:sz w:val="24"/>
                <w:szCs w:val="24"/>
              </w:rPr>
              <w:t xml:space="preserve">Proceed to Step 4.</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AFAFA" w:color="auto" w:val="clear"/>
            <w:tcMar>
              <w:top w:type="dxa" w:w="150"/>
              <w:left w:type="dxa" w:w="210"/>
              <w:bottom w:type="dxa" w:w="150"/>
              <w:right w:type="dxa" w:w="210"/>
            </w:tcMar>
          </w:tcPr>
          <w:p>
            <w:pPr>
              <w:spacing w:after="80" w:line="360" w:lineRule="auto"/>
            </w:pPr>
            <w:r>
              <w:rPr>
                <w:rFonts w:ascii="Cambria" w:cs="Cambria" w:eastAsia="Cambria" w:hAnsi="Cambria"/>
                <w:b/>
                <w:bCs/>
                <w:i w:val="false"/>
                <w:iCs w:val="false"/>
                <w:strike w:val="false"/>
                <w:color w:val="000000"/>
                <w:sz w:val="24"/>
                <w:szCs w:val="24"/>
              </w:rPr>
              <w:t xml:space="preserve">STEP 3: PRIVATE PROPERTY RIGHT INQUIRY</w:t>
            </w:r>
          </w:p>
          <w:p>
            <w:pPr>
              <w:spacing w:after="120" w:line="360" w:lineRule="auto"/>
            </w:pPr>
            <w:r>
              <w:rPr>
                <w:rFonts w:ascii="Cambria" w:cs="Cambria" w:eastAsia="Cambria" w:hAnsi="Cambria"/>
                <w:b/>
                <w:bCs/>
                <w:i w:val="false"/>
                <w:iCs w:val="false"/>
                <w:strike w:val="false"/>
                <w:color w:val="000000"/>
                <w:sz w:val="24"/>
                <w:szCs w:val="24"/>
              </w:rPr>
              <w:t xml:space="preserve">Question:</w:t>
            </w:r>
            <w:r>
              <w:rPr>
                <w:rFonts w:ascii="Cambria" w:cs="Cambria" w:eastAsia="Cambria" w:hAnsi="Cambria"/>
                <w:b w:val="false"/>
                <w:bCs w:val="false"/>
                <w:i w:val="false"/>
                <w:iCs w:val="false"/>
                <w:strike w:val="false"/>
                <w:color w:val="000000"/>
                <w:sz w:val="24"/>
                <w:szCs w:val="24"/>
              </w:rPr>
              <w:t xml:space="preserve"> Does the grant convey a private property right — </w:t>
            </w:r>
            <w:r>
              <w:rPr>
                <w:rFonts w:ascii="Cambria" w:cs="Cambria" w:eastAsia="Cambria" w:hAnsi="Cambria"/>
                <w:b w:val="false"/>
                <w:bCs w:val="false"/>
                <w:i/>
                <w:iCs/>
                <w:strike w:val="false"/>
                <w:color w:val="000000"/>
                <w:sz w:val="24"/>
                <w:szCs w:val="24"/>
              </w:rPr>
              <w:t xml:space="preserve">i.e.</w:t>
            </w:r>
            <w:r>
              <w:rPr>
                <w:rFonts w:ascii="Cambria" w:cs="Cambria" w:eastAsia="Cambria" w:hAnsi="Cambria"/>
                <w:b w:val="false"/>
                <w:bCs w:val="false"/>
                <w:i w:val="false"/>
                <w:iCs w:val="false"/>
                <w:strike w:val="false"/>
                <w:color w:val="000000"/>
                <w:sz w:val="24"/>
                <w:szCs w:val="24"/>
              </w:rPr>
              <w:t xml:space="preserve">, a right that does not belong to citizens generally by common right and that cannot be exercised without express permission of the sovereign?</w:t>
            </w:r>
          </w:p>
          <w:p>
            <w:pPr>
              <w:spacing w:after="40" w:line="360" w:lineRule="auto"/>
            </w:pPr>
            <w:r>
              <w:rPr>
                <w:rFonts w:ascii="Cambria" w:cs="Cambria" w:eastAsia="Cambria" w:hAnsi="Cambria"/>
                <w:b w:val="false"/>
                <w:bCs w:val="false"/>
                <w:i/>
                <w:iCs/>
                <w:strike w:val="false"/>
                <w:color w:val="000000"/>
                <w:sz w:val="24"/>
                <w:szCs w:val="24"/>
              </w:rPr>
              <w:t xml:space="preserve">Key Indicators:</w:t>
            </w:r>
            <w:r>
              <w:rPr>
                <w:rFonts w:ascii="Cambria" w:cs="Cambria" w:eastAsia="Cambria" w:hAnsi="Cambria"/>
                <w:b w:val="false"/>
                <w:bCs w:val="false"/>
                <w:i w:val="false"/>
                <w:iCs w:val="false"/>
                <w:strike w:val="false"/>
                <w:color w:val="000000"/>
                <w:sz w:val="24"/>
                <w:szCs w:val="24"/>
              </w:rPr>
              <w:t xml:space="preserve"> The right is alienable, taxable as property, and constitutionally protected against unilateral impairment. The grantee exercises authority in an area exclusively reserved to the sovereign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use of public rights-of-way, provision of monopoly utility service, operation of a toll facility on public infrastructure).</w:t>
            </w:r>
          </w:p>
          <w:p>
            <w:pPr>
              <w:spacing w:after="40" w:line="360" w:lineRule="auto"/>
            </w:pPr>
            <w:r>
              <w:rPr>
                <w:rFonts w:ascii="Cambria" w:cs="Cambria" w:eastAsia="Cambria" w:hAnsi="Cambria"/>
                <w:b w:val="false"/>
                <w:bCs w:val="false"/>
                <w:i/>
                <w:iCs/>
                <w:strike w:val="false"/>
                <w:color w:val="000000"/>
                <w:sz w:val="24"/>
                <w:szCs w:val="24"/>
              </w:rPr>
              <w:t xml:space="preserve">Example:</w:t>
            </w:r>
            <w:r>
              <w:rPr>
                <w:rFonts w:ascii="Cambria" w:cs="Cambria" w:eastAsia="Cambria" w:hAnsi="Cambria"/>
                <w:b w:val="false"/>
                <w:bCs w:val="false"/>
                <w:i w:val="false"/>
                <w:iCs w:val="false"/>
                <w:strike w:val="false"/>
                <w:color w:val="000000"/>
                <w:sz w:val="24"/>
                <w:szCs w:val="24"/>
              </w:rPr>
              <w:t xml:space="preserve"> A corporate charter granting the right to exist and operate as a legal entity — a right that does not exist at common law and requires express sovereign authorization.</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The grant conveys a private property right not held by common right.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360"/>
                    <w:left w:type="dxa" w:w="504"/>
                    <w:bottom w:type="dxa" w:w="360"/>
                    <w:right w:type="dxa" w:w="504"/>
                  </w:tcMar>
                </w:tcPr>
                <w:p>
                  <w:pPr>
                    <w:spacing w:after="120" w:line="408" w:lineRule="auto"/>
                  </w:pPr>
                  <w:r>
                    <w:t xml:space="preserve">✦ CLASSIFY AS:</w:t>
                  </w:r>
                </w:p>
                <w:p>
                  <w:pPr>
                    <w:spacing w:after="120" w:line="408" w:lineRule="auto"/>
                  </w:pPr>
                  <w:r>
                    <w:t xml:space="preserve">FRANCHISE</w:t>
                  </w:r>
                </w:p>
                <w:p>
                  <w:pPr>
                    <w:spacing w:after="120" w:line="408" w:lineRule="auto"/>
                  </w:pPr>
                  <w:r>
                    <w:t xml:space="preserve">Authority:</w:t>
                  </w:r>
                </w:p>
                <w:p>
                  <w:pPr>
                    <w:spacing w:after="120" w:line="408" w:lineRule="auto"/>
                  </w:pPr>
                  <w:r>
                    <w:t xml:space="preserve">36 Am. Jur. 2d</w:t>
                  </w:r>
                </w:p>
                <w:p>
                  <w:pPr>
                    <w:spacing w:after="120" w:line="408" w:lineRule="auto"/>
                  </w:pPr>
                  <w:r>
                    <w:t xml:space="preserve">Franchises from Public Entities</w:t>
                  </w:r>
                </w:p>
                <w:p>
                  <w:pPr>
                    <w:spacing w:after="120" w:line="408" w:lineRule="auto"/>
                  </w:pPr>
                  <w:r>
                    <w:t xml:space="preserve">§ 1;</w:t>
                  </w:r>
                </w:p>
                <w:p>
                  <w:pPr>
                    <w:spacing w:after="120" w:line="408" w:lineRule="auto"/>
                  </w:pPr>
                  <w:r>
                    <w:t xml:space="preserve">Johnson v. Austin</w:t>
                  </w:r>
                </w:p>
                <w:p>
                  <w:pPr>
                    <w:spacing w:after="120" w:line="408" w:lineRule="auto"/>
                  </w:pPr>
                  <w:r>
                    <w:t xml:space="preserve">, 674 S.W.2d 894 (Tex. App. 1984).</w:t>
                  </w:r>
                </w:p>
              </w:tc>
            </w:tr>
          </w:tbl>
          <w:p>
            <w:pPr>
              <w:spacing w:after="240" w:before="0"/>
            </w:pP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 The grant is contractual but does not convey a private property right distinct from common right.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360"/>
                    <w:left w:type="dxa" w:w="504"/>
                    <w:bottom w:type="dxa" w:w="360"/>
                    <w:right w:type="dxa" w:w="504"/>
                  </w:tcMar>
                </w:tcPr>
                <w:p>
                  <w:pPr>
                    <w:spacing w:after="120" w:line="408" w:lineRule="auto"/>
                  </w:pPr>
                  <w:r>
                    <w:t xml:space="preserve">✦ CLASSIFY AS:</w:t>
                  </w:r>
                </w:p>
                <w:p>
                  <w:pPr>
                    <w:spacing w:after="120" w:line="408" w:lineRule="auto"/>
                  </w:pPr>
                  <w:r>
                    <w:t xml:space="preserve">PRIVILEGE</w:t>
                  </w:r>
                </w:p>
                <w:p>
                  <w:pPr>
                    <w:spacing w:after="120" w:line="408" w:lineRule="auto"/>
                  </w:pPr>
                  <w:r>
                    <w:t xml:space="preserve">(contractual but non-proprietary grant)</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AFAFA" w:color="auto" w:val="clear"/>
            <w:tcMar>
              <w:top w:type="dxa" w:w="150"/>
              <w:left w:type="dxa" w:w="210"/>
              <w:bottom w:type="dxa" w:w="150"/>
              <w:right w:type="dxa" w:w="210"/>
            </w:tcMar>
          </w:tcPr>
          <w:p>
            <w:pPr>
              <w:spacing w:after="80" w:line="360" w:lineRule="auto"/>
            </w:pPr>
            <w:r>
              <w:rPr>
                <w:rFonts w:ascii="Cambria" w:cs="Cambria" w:eastAsia="Cambria" w:hAnsi="Cambria"/>
                <w:b/>
                <w:bCs/>
                <w:i w:val="false"/>
                <w:iCs w:val="false"/>
                <w:strike w:val="false"/>
                <w:color w:val="000000"/>
                <w:sz w:val="24"/>
                <w:szCs w:val="24"/>
              </w:rPr>
              <w:t xml:space="preserve">STEP 4: POLICE-POWER LICENSING INQUIRY</w:t>
            </w:r>
          </w:p>
          <w:p>
            <w:pPr>
              <w:spacing w:after="120" w:line="360" w:lineRule="auto"/>
            </w:pPr>
            <w:r>
              <w:rPr>
                <w:rFonts w:ascii="Cambria" w:cs="Cambria" w:eastAsia="Cambria" w:hAnsi="Cambria"/>
                <w:b/>
                <w:bCs/>
                <w:i w:val="false"/>
                <w:iCs w:val="false"/>
                <w:strike w:val="false"/>
                <w:color w:val="000000"/>
                <w:sz w:val="24"/>
                <w:szCs w:val="24"/>
              </w:rPr>
              <w:t xml:space="preserve">Question:</w:t>
            </w:r>
            <w:r>
              <w:rPr>
                <w:rFonts w:ascii="Cambria" w:cs="Cambria" w:eastAsia="Cambria" w:hAnsi="Cambria"/>
                <w:b w:val="false"/>
                <w:bCs w:val="false"/>
                <w:i w:val="false"/>
                <w:iCs w:val="false"/>
                <w:strike w:val="false"/>
                <w:color w:val="000000"/>
                <w:sz w:val="24"/>
                <w:szCs w:val="24"/>
              </w:rPr>
              <w:t xml:space="preserve"> Is the grant effectuated through a license, permit, or administrative authorization under the police power, conveying temporary use of public property or regulating a pre-existing activity?</w:t>
            </w:r>
          </w:p>
          <w:p>
            <w:pPr>
              <w:spacing w:after="40" w:line="360" w:lineRule="auto"/>
            </w:pPr>
            <w:r>
              <w:rPr>
                <w:rFonts w:ascii="Cambria" w:cs="Cambria" w:eastAsia="Cambria" w:hAnsi="Cambria"/>
                <w:b w:val="false"/>
                <w:bCs w:val="false"/>
                <w:i/>
                <w:iCs/>
                <w:strike w:val="false"/>
                <w:color w:val="000000"/>
                <w:sz w:val="24"/>
                <w:szCs w:val="24"/>
              </w:rPr>
              <w:t xml:space="preserve">Key Indicators:</w:t>
            </w:r>
            <w:r>
              <w:rPr>
                <w:rFonts w:ascii="Cambria" w:cs="Cambria" w:eastAsia="Cambria" w:hAnsi="Cambria"/>
                <w:b w:val="false"/>
                <w:bCs w:val="false"/>
                <w:i w:val="false"/>
                <w:iCs w:val="false"/>
                <w:strike w:val="false"/>
                <w:color w:val="000000"/>
                <w:sz w:val="24"/>
                <w:szCs w:val="24"/>
              </w:rPr>
              <w:t xml:space="preserve"> The statute empowers an administrative agency to issue, deny, suspend, or revoke a license or permit. The authorization is unilateral, conditional upon compliance, revocable at will, and non-transferable. The underlying activity may be a pre-existing common-law right now subject to regulatory conditions.</w:t>
            </w:r>
          </w:p>
          <w:p>
            <w:pPr>
              <w:spacing w:after="40" w:line="360" w:lineRule="auto"/>
            </w:pPr>
            <w:r>
              <w:rPr>
                <w:rFonts w:ascii="Cambria" w:cs="Cambria" w:eastAsia="Cambria" w:hAnsi="Cambria"/>
                <w:b w:val="false"/>
                <w:bCs w:val="false"/>
                <w:i/>
                <w:iCs/>
                <w:strike w:val="false"/>
                <w:color w:val="000000"/>
                <w:sz w:val="24"/>
                <w:szCs w:val="24"/>
              </w:rPr>
              <w:t xml:space="preserve">Example:</w:t>
            </w:r>
            <w:r>
              <w:rPr>
                <w:rFonts w:ascii="Cambria" w:cs="Cambria" w:eastAsia="Cambria" w:hAnsi="Cambria"/>
                <w:b w:val="false"/>
                <w:bCs w:val="false"/>
                <w:i w:val="false"/>
                <w:iCs w:val="false"/>
                <w:strike w:val="false"/>
                <w:color w:val="000000"/>
                <w:sz w:val="24"/>
                <w:szCs w:val="24"/>
              </w:rPr>
              <w:t xml:space="preserve"> A state professional licensing statute authorizing a board to issue medical licenses upon satisfaction of educational and examination requirements.</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The grant is a police-power license or permit.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360"/>
                    <w:left w:type="dxa" w:w="504"/>
                    <w:bottom w:type="dxa" w:w="360"/>
                    <w:right w:type="dxa" w:w="504"/>
                  </w:tcMar>
                </w:tcPr>
                <w:p>
                  <w:pPr>
                    <w:spacing w:after="120" w:line="408" w:lineRule="auto"/>
                  </w:pPr>
                  <w:r>
                    <w:t xml:space="preserve">✦ CLASSIFY AS:</w:t>
                  </w:r>
                </w:p>
                <w:p>
                  <w:pPr>
                    <w:spacing w:after="120" w:line="408" w:lineRule="auto"/>
                  </w:pPr>
                  <w:r>
                    <w:t xml:space="preserve">PRIVILEGE</w:t>
                  </w:r>
                </w:p>
                <w:p>
                  <w:pPr>
                    <w:spacing w:after="120" w:line="408" w:lineRule="auto"/>
                  </w:pPr>
                  <w:r>
                    <w:t xml:space="preserve">Authority:</w:t>
                  </w:r>
                </w:p>
                <w:p>
                  <w:pPr>
                    <w:spacing w:after="120" w:line="408" w:lineRule="auto"/>
                  </w:pPr>
                  <w:r>
                    <w:t xml:space="preserve">Johnson v. Austin</w:t>
                  </w:r>
                </w:p>
                <w:p>
                  <w:pPr>
                    <w:spacing w:after="120" w:line="408" w:lineRule="auto"/>
                  </w:pPr>
                  <w:r>
                    <w:t xml:space="preserve">, 674 S.W.2d 894, 903 (Tex. App. 1984).</w:t>
                  </w:r>
                </w:p>
              </w:tc>
            </w:tr>
          </w:tbl>
          <w:p>
            <w:pPr>
              <w:spacing w:after="240" w:before="0"/>
            </w:pP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 The grant does not fit the police-power licensing model. → </w:t>
            </w:r>
            <w:r>
              <w:rPr>
                <w:rFonts w:ascii="Cambria" w:cs="Cambria" w:eastAsia="Cambria" w:hAnsi="Cambria"/>
                <w:b/>
                <w:bCs/>
                <w:i w:val="false"/>
                <w:iCs w:val="false"/>
                <w:strike w:val="false"/>
                <w:color w:val="000000"/>
                <w:sz w:val="24"/>
                <w:szCs w:val="24"/>
              </w:rPr>
              <w:t xml:space="preserve">Proceed to Step 5.</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AFAFA" w:color="auto" w:val="clear"/>
            <w:tcMar>
              <w:top w:type="dxa" w:w="150"/>
              <w:left w:type="dxa" w:w="210"/>
              <w:bottom w:type="dxa" w:w="150"/>
              <w:right w:type="dxa" w:w="210"/>
            </w:tcMar>
          </w:tcPr>
          <w:p>
            <w:pPr>
              <w:spacing w:after="80" w:line="360" w:lineRule="auto"/>
            </w:pPr>
            <w:r>
              <w:rPr>
                <w:rFonts w:ascii="Cambria" w:cs="Cambria" w:eastAsia="Cambria" w:hAnsi="Cambria"/>
                <w:b/>
                <w:bCs/>
                <w:i w:val="false"/>
                <w:iCs w:val="false"/>
                <w:strike w:val="false"/>
                <w:color w:val="000000"/>
                <w:sz w:val="24"/>
                <w:szCs w:val="24"/>
              </w:rPr>
              <w:t xml:space="preserve">STEP 5: GENERAL CIVIL OBLIGATION INQUIRY</w:t>
            </w:r>
          </w:p>
          <w:p>
            <w:pPr>
              <w:spacing w:after="120" w:line="360" w:lineRule="auto"/>
            </w:pPr>
            <w:r>
              <w:rPr>
                <w:rFonts w:ascii="Cambria" w:cs="Cambria" w:eastAsia="Cambria" w:hAnsi="Cambria"/>
                <w:b/>
                <w:bCs/>
                <w:i w:val="false"/>
                <w:iCs w:val="false"/>
                <w:strike w:val="false"/>
                <w:color w:val="000000"/>
                <w:sz w:val="24"/>
                <w:szCs w:val="24"/>
              </w:rPr>
              <w:t xml:space="preserve">Question:</w:t>
            </w:r>
            <w:r>
              <w:rPr>
                <w:rFonts w:ascii="Cambria" w:cs="Cambria" w:eastAsia="Cambria" w:hAnsi="Cambria"/>
                <w:b w:val="false"/>
                <w:bCs w:val="false"/>
                <w:i w:val="false"/>
                <w:iCs w:val="false"/>
                <w:strike w:val="false"/>
                <w:color w:val="000000"/>
                <w:sz w:val="24"/>
                <w:szCs w:val="24"/>
              </w:rPr>
              <w:t xml:space="preserve"> Does the statute impose a duty, prohibition, or obligation on all persons within a jurisdiction without regard to any specific grant, consent, or application?</w:t>
            </w:r>
          </w:p>
          <w:p>
            <w:pPr>
              <w:spacing w:after="40" w:line="360" w:lineRule="auto"/>
            </w:pPr>
            <w:r>
              <w:rPr>
                <w:rFonts w:ascii="Cambria" w:cs="Cambria" w:eastAsia="Cambria" w:hAnsi="Cambria"/>
                <w:b w:val="false"/>
                <w:bCs w:val="false"/>
                <w:i/>
                <w:iCs/>
                <w:strike w:val="false"/>
                <w:color w:val="000000"/>
                <w:sz w:val="24"/>
                <w:szCs w:val="24"/>
              </w:rPr>
              <w:t xml:space="preserve">Key Indicators:</w:t>
            </w:r>
            <w:r>
              <w:rPr>
                <w:rFonts w:ascii="Cambria" w:cs="Cambria" w:eastAsia="Cambria" w:hAnsi="Cambria"/>
                <w:b w:val="false"/>
                <w:bCs w:val="false"/>
                <w:i w:val="false"/>
                <w:iCs w:val="false"/>
                <w:strike w:val="false"/>
                <w:color w:val="000000"/>
                <w:sz w:val="24"/>
                <w:szCs w:val="24"/>
              </w:rPr>
              <w:t xml:space="preserve"> The statute is self-executing and applies universally. No application, license, or grant is required. The statute creates duties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duty of care), prohibitions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criminal statutes), or procedural requirements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recording statutes) that operate upon all persons by operation of law.</w:t>
            </w:r>
          </w:p>
          <w:p>
            <w:pPr>
              <w:spacing w:after="40" w:line="360" w:lineRule="auto"/>
            </w:pPr>
            <w:r>
              <w:rPr>
                <w:rFonts w:ascii="Cambria" w:cs="Cambria" w:eastAsia="Cambria" w:hAnsi="Cambria"/>
                <w:b w:val="false"/>
                <w:bCs w:val="false"/>
                <w:i/>
                <w:iCs/>
                <w:strike w:val="false"/>
                <w:color w:val="000000"/>
                <w:sz w:val="24"/>
                <w:szCs w:val="24"/>
              </w:rPr>
              <w:t xml:space="preserve">Example:</w:t>
            </w:r>
            <w:r>
              <w:rPr>
                <w:rFonts w:ascii="Cambria" w:cs="Cambria" w:eastAsia="Cambria" w:hAnsi="Cambria"/>
                <w:b w:val="false"/>
                <w:bCs w:val="false"/>
                <w:i w:val="false"/>
                <w:iCs w:val="false"/>
                <w:strike w:val="false"/>
                <w:color w:val="000000"/>
                <w:sz w:val="24"/>
                <w:szCs w:val="24"/>
              </w:rPr>
              <w:t xml:space="preserve"> Tort duties of reasonable care; contract enforcement rules under the Uniform Commercial Code; real property recording requirements; tax obligations imposed on all residents.</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The statute imposes a universal duty without specific grant.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360"/>
                    <w:left w:type="dxa" w:w="504"/>
                    <w:bottom w:type="dxa" w:w="360"/>
                    <w:right w:type="dxa" w:w="504"/>
                  </w:tcMar>
                </w:tcPr>
                <w:p>
                  <w:pPr>
                    <w:spacing w:after="120" w:line="408" w:lineRule="auto"/>
                  </w:pPr>
                  <w:r>
                    <w:t xml:space="preserve">✦ CLASSIFY AS:</w:t>
                  </w:r>
                </w:p>
                <w:p>
                  <w:pPr>
                    <w:spacing w:after="120" w:line="408" w:lineRule="auto"/>
                  </w:pPr>
                  <w:r>
                    <w:t xml:space="preserve">GENERAL CIVIL OBLIGATION</w:t>
                  </w:r>
                </w:p>
              </w:tc>
            </w:tr>
          </w:tbl>
          <w:p>
            <w:pPr>
              <w:spacing w:after="240" w:before="0"/>
            </w:pP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 The statute does not impose a universal obligation. → </w:t>
            </w:r>
            <w:r>
              <w:rPr>
                <w:rFonts w:ascii="Cambria" w:cs="Cambria" w:eastAsia="Cambria" w:hAnsi="Cambria"/>
                <w:b/>
                <w:bCs/>
                <w:i w:val="false"/>
                <w:iCs w:val="false"/>
                <w:strike w:val="false"/>
                <w:color w:val="000000"/>
                <w:sz w:val="24"/>
                <w:szCs w:val="24"/>
              </w:rPr>
              <w:t xml:space="preserve">Proceed to Step 6.</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AFAFA" w:color="auto" w:val="clear"/>
            <w:tcMar>
              <w:top w:type="dxa" w:w="150"/>
              <w:left w:type="dxa" w:w="210"/>
              <w:bottom w:type="dxa" w:w="150"/>
              <w:right w:type="dxa" w:w="210"/>
            </w:tcMar>
          </w:tcPr>
          <w:p>
            <w:pPr>
              <w:spacing w:after="80" w:line="360" w:lineRule="auto"/>
            </w:pPr>
            <w:r>
              <w:rPr>
                <w:rFonts w:ascii="Cambria" w:cs="Cambria" w:eastAsia="Cambria" w:hAnsi="Cambria"/>
                <w:b/>
                <w:bCs/>
                <w:i w:val="false"/>
                <w:iCs w:val="false"/>
                <w:strike w:val="false"/>
                <w:color w:val="000000"/>
                <w:sz w:val="24"/>
                <w:szCs w:val="24"/>
              </w:rPr>
              <w:t xml:space="preserve">STEP 6: POLITICAL STATUS INQUIRY</w:t>
            </w:r>
          </w:p>
          <w:p>
            <w:pPr>
              <w:spacing w:after="120" w:line="360" w:lineRule="auto"/>
            </w:pPr>
            <w:r>
              <w:rPr>
                <w:rFonts w:ascii="Cambria" w:cs="Cambria" w:eastAsia="Cambria" w:hAnsi="Cambria"/>
                <w:b/>
                <w:bCs/>
                <w:i w:val="false"/>
                <w:iCs w:val="false"/>
                <w:strike w:val="false"/>
                <w:color w:val="000000"/>
                <w:sz w:val="24"/>
                <w:szCs w:val="24"/>
              </w:rPr>
              <w:t xml:space="preserve">Question:</w:t>
            </w:r>
            <w:r>
              <w:rPr>
                <w:rFonts w:ascii="Cambria" w:cs="Cambria" w:eastAsia="Cambria" w:hAnsi="Cambria"/>
                <w:b w:val="false"/>
                <w:bCs w:val="false"/>
                <w:i w:val="false"/>
                <w:iCs w:val="false"/>
                <w:strike w:val="false"/>
                <w:color w:val="000000"/>
                <w:sz w:val="24"/>
                <w:szCs w:val="24"/>
              </w:rPr>
              <w:t xml:space="preserve"> Does the statute define, create, or regulate a political status, office, or relationship to the body politic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citizenship, voter eligibility, jury service, officeholding)?</w:t>
            </w:r>
          </w:p>
          <w:p>
            <w:pPr>
              <w:spacing w:after="40" w:line="360" w:lineRule="auto"/>
            </w:pPr>
            <w:r>
              <w:rPr>
                <w:rFonts w:ascii="Cambria" w:cs="Cambria" w:eastAsia="Cambria" w:hAnsi="Cambria"/>
                <w:b w:val="false"/>
                <w:bCs w:val="false"/>
                <w:i/>
                <w:iCs/>
                <w:strike w:val="false"/>
                <w:color w:val="000000"/>
                <w:sz w:val="24"/>
                <w:szCs w:val="24"/>
              </w:rPr>
              <w:t xml:space="preserve">Key Indicators:</w:t>
            </w:r>
            <w:r>
              <w:rPr>
                <w:rFonts w:ascii="Cambria" w:cs="Cambria" w:eastAsia="Cambria" w:hAnsi="Cambria"/>
                <w:b w:val="false"/>
                <w:bCs w:val="false"/>
                <w:i w:val="false"/>
                <w:iCs w:val="false"/>
                <w:strike w:val="false"/>
                <w:color w:val="000000"/>
                <w:sz w:val="24"/>
                <w:szCs w:val="24"/>
              </w:rPr>
              <w:t xml:space="preserve"> The statute addresses membership in the political community, qualifications for participation in governance, or the rights and duties incident to political membership. It defines who may vote, hold office, serve on juries, or claim the protections of citizenship.</w:t>
            </w:r>
          </w:p>
          <w:p>
            <w:pPr>
              <w:spacing w:after="40" w:line="360" w:lineRule="auto"/>
            </w:pPr>
            <w:r>
              <w:rPr>
                <w:rFonts w:ascii="Cambria" w:cs="Cambria" w:eastAsia="Cambria" w:hAnsi="Cambria"/>
                <w:b w:val="false"/>
                <w:bCs w:val="false"/>
                <w:i/>
                <w:iCs/>
                <w:strike w:val="false"/>
                <w:color w:val="000000"/>
                <w:sz w:val="24"/>
                <w:szCs w:val="24"/>
              </w:rPr>
              <w:t xml:space="preserve">Example:</w:t>
            </w:r>
            <w:r>
              <w:rPr>
                <w:rFonts w:ascii="Cambria" w:cs="Cambria" w:eastAsia="Cambria" w:hAnsi="Cambria"/>
                <w:b w:val="false"/>
                <w:bCs w:val="false"/>
                <w:i w:val="false"/>
                <w:iCs w:val="false"/>
                <w:strike w:val="false"/>
                <w:color w:val="000000"/>
                <w:sz w:val="24"/>
                <w:szCs w:val="24"/>
              </w:rPr>
              <w:t xml:space="preserve"> Voter registration statutes; jury service qualification provisions; naturalization requirements; officeholding qualifications under state constitutions.</w:t>
            </w: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The statute defines or regulates political status.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360"/>
                    <w:left w:type="dxa" w:w="504"/>
                    <w:bottom w:type="dxa" w:w="360"/>
                    <w:right w:type="dxa" w:w="504"/>
                  </w:tcMar>
                </w:tcPr>
                <w:p>
                  <w:pPr>
                    <w:spacing w:after="120" w:line="408" w:lineRule="auto"/>
                  </w:pPr>
                  <w:r>
                    <w:t xml:space="preserve">✦ CLASSIFY AS:</w:t>
                  </w:r>
                </w:p>
                <w:p>
                  <w:pPr>
                    <w:spacing w:after="120" w:line="408" w:lineRule="auto"/>
                  </w:pPr>
                  <w:r>
                    <w:t xml:space="preserve">POLITICAL STATUS</w:t>
                  </w:r>
                </w:p>
              </w:tc>
            </w:tr>
          </w:tbl>
          <w:p>
            <w:pPr>
              <w:spacing w:after="240" w:before="0"/>
            </w:pPr>
          </w:p>
          <w:p>
            <w:pPr>
              <w:spacing w:after="120" w:line="360" w:lineRule="auto"/>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 The statute does not fit any of the foregoing categories.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360"/>
                    <w:left w:type="dxa" w:w="504"/>
                    <w:bottom w:type="dxa" w:w="360"/>
                    <w:right w:type="dxa" w:w="504"/>
                  </w:tcMar>
                </w:tcPr>
                <w:p>
                  <w:pPr>
                    <w:spacing w:after="120" w:line="408" w:lineRule="auto"/>
                  </w:pPr>
                  <w:r>
                    <w:t xml:space="preserve">✦</w:t>
                  </w:r>
                </w:p>
                <w:p>
                  <w:pPr>
                    <w:spacing w:after="120" w:line="408" w:lineRule="auto"/>
                  </w:pPr>
                  <w:r>
                    <w:t xml:space="preserve">SUI GENERIS OR HYBRID CLASSIFICATION</w:t>
                  </w:r>
                </w:p>
                <w:p>
                  <w:pPr>
                    <w:spacing w:after="120" w:line="408" w:lineRule="auto"/>
                  </w:pPr>
                  <w:r>
                    <w:t xml:space="preserve">Apply the Presumption of Consistent Usage and the Surplusage Canon to determine whether the legislature intended a distinct classification. Analyze legislative history, structural context, and the statute's operative effect.</w:t>
                  </w:r>
                </w:p>
                <w:p>
                  <w:pPr>
                    <w:spacing w:after="120" w:line="408" w:lineRule="auto"/>
                  </w:pPr>
                  <w:r>
                    <w:t xml:space="preserve">See</w:t>
                  </w:r>
                </w:p>
                <w:p>
                  <w:pPr>
                    <w:spacing w:after="120" w:line="408" w:lineRule="auto"/>
                  </w:pPr>
                  <w:r>
                    <w:t xml:space="preserve">Scalia</w:t>
                  </w:r>
                </w:p>
                <w:p>
                  <w:pPr>
                    <w:spacing w:after="120" w:line="408" w:lineRule="auto"/>
                  </w:pPr>
                  <w:r>
                    <w:t xml:space="preserve">&amp;</w:t>
                  </w:r>
                </w:p>
                <w:p>
                  <w:pPr>
                    <w:spacing w:after="120" w:line="408" w:lineRule="auto"/>
                  </w:pPr>
                  <w:r>
                    <w:t xml:space="preserve">Garner,</w:t>
                  </w:r>
                </w:p>
                <w:p>
                  <w:pPr>
                    <w:spacing w:after="120" w:line="408" w:lineRule="auto"/>
                  </w:pPr>
                  <w:r>
                    <w:t xml:space="preserve">Reading Law</w:t>
                  </w:r>
                </w:p>
                <w:p>
                  <w:pPr>
                    <w:spacing w:after="120" w:line="408" w:lineRule="auto"/>
                  </w:pPr>
                  <w:r>
                    <w:t xml:space="preserve">170, 174 (2012).</w:t>
                  </w:r>
                </w:p>
              </w:tc>
            </w:tr>
          </w:tbl>
          <w:p>
            <w:pPr>
              <w:spacing w:after="240" w:before="0"/>
            </w:pPr>
          </w:p>
        </w:tc>
      </w:tr>
    </w:tbl>
    <w:p>
      <w:pPr>
        <w:spacing w:after="240" w:before="0"/>
      </w:pP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333333"/>
          <w:spacing w:val="40"/>
          <w:sz w:val="20"/>
          <w:szCs w:val="20"/>
        </w:rPr>
        <w:t xml:space="preserve">ARTIFACT 3</w:t>
      </w:r>
    </w:p>
    <w:p>
      <w:pPr>
        <w:pStyle w:val="Heading1"/>
        <w:spacing w:after="120" w:before="480" w:line="312" w:lineRule="auto"/>
      </w:pPr>
      <w:r>
        <w:rPr>
          <w:rFonts w:ascii="Cambria" w:cs="Cambria" w:eastAsia="Cambria" w:hAnsi="Cambria"/>
          <w:color w:val="000000"/>
          <w:sz w:val="48"/>
          <w:szCs w:val="48"/>
        </w:rPr>
        <w:t xml:space="preserve">THE LEGAL INDEPENDENCE OF CIVIL PRIVILEGES AND CIVIL FRANCHISES</w:t>
      </w:r>
    </w:p>
    <w:p>
      <w:pPr>
        <w:pStyle w:val="Heading2"/>
        <w:spacing w:after="120" w:before="360" w:line="312" w:lineRule="auto"/>
      </w:pPr>
      <w:r>
        <w:rPr>
          <w:rFonts w:ascii="Cambria" w:cs="Cambria" w:eastAsia="Cambria" w:hAnsi="Cambria"/>
          <w:color w:val="000000"/>
          <w:sz w:val="36"/>
          <w:szCs w:val="36"/>
        </w:rPr>
        <w:t xml:space="preserve">A Statutory-Construction Argument</w:t>
      </w:r>
    </w:p>
    <w:p>
      <w:pPr>
        <w:pStyle w:val="Heading3"/>
        <w:spacing w:after="120" w:before="240" w:line="312" w:lineRule="auto"/>
      </w:pPr>
      <w:r>
        <w:rPr>
          <w:rFonts w:ascii="Cambria" w:cs="Cambria" w:eastAsia="Cambria" w:hAnsi="Cambria"/>
          <w:color w:val="000000"/>
          <w:sz w:val="28"/>
          <w:szCs w:val="28"/>
        </w:rPr>
        <w:t xml:space="preserve">I.  THESIS</w:t>
      </w: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Civil privileges and civil franchises are doctrinally distinct legal categories with different sources of authority, different mechanisms of conveyance, different property characteristics, and different constitutional protections. Conflating them violates foundational canons of statutory construction, obscures the constitutional protections that attach uniquely to each category, and defeats the express intent of legislatures that have deliberately employed these terms in different operative contexts. This argument demonstrates that the distinction is not merely semantic but structural — embedded in the architecture of American statutory and constitutional law.</w:t>
      </w:r>
    </w:p>
    <w:p>
      <w:pPr>
        <w:pStyle w:val="Heading3"/>
        <w:spacing w:after="120" w:before="240" w:line="312" w:lineRule="auto"/>
      </w:pPr>
      <w:r>
        <w:rPr>
          <w:rFonts w:ascii="Cambria" w:cs="Cambria" w:eastAsia="Cambria" w:hAnsi="Cambria"/>
          <w:color w:val="000000"/>
          <w:sz w:val="28"/>
          <w:szCs w:val="28"/>
        </w:rPr>
        <w:t xml:space="preserve">II.  STATUTORY-CONSTRUCTION FOUNDATION</w:t>
      </w: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Four canons of statutory construction independently compel the conclusion that "privilege" and "franchise" are legally distinct terms carrying different operative meanings. First, the </w:t>
      </w:r>
      <w:r>
        <w:rPr>
          <w:rFonts w:ascii="Cambria" w:cs="Cambria" w:eastAsia="Cambria" w:hAnsi="Cambria"/>
          <w:b/>
          <w:bCs/>
          <w:i w:val="false"/>
          <w:iCs w:val="false"/>
          <w:strike w:val="false"/>
          <w:color w:val="000000"/>
          <w:sz w:val="24"/>
          <w:szCs w:val="24"/>
        </w:rPr>
        <w:t xml:space="preserve">Presumption of Consistent Usage</w:t>
      </w:r>
      <w:r>
        <w:rPr>
          <w:rFonts w:ascii="Cambria" w:cs="Cambria" w:eastAsia="Cambria" w:hAnsi="Cambria"/>
          <w:b w:val="false"/>
          <w:bCs w:val="false"/>
          <w:i w:val="false"/>
          <w:iCs w:val="false"/>
          <w:strike w:val="false"/>
          <w:color w:val="000000"/>
          <w:sz w:val="24"/>
          <w:szCs w:val="24"/>
        </w:rPr>
        <w:t xml:space="preserve"> provides that "[a] word or phrase is presumed to bear the same meaning throughout a text; a material variation in terms suggests a variation in meaning." Scalia &amp; Garner, </w:t>
      </w:r>
      <w:r>
        <w:rPr>
          <w:rFonts w:ascii="Cambria" w:cs="Cambria" w:eastAsia="Cambria" w:hAnsi="Cambria"/>
          <w:b w:val="false"/>
          <w:bCs w:val="false"/>
          <w:i/>
          <w:iCs/>
          <w:strike w:val="false"/>
          <w:color w:val="000000"/>
          <w:sz w:val="24"/>
          <w:szCs w:val="24"/>
        </w:rPr>
        <w:t xml:space="preserve">Reading Law: The Interpretation of Legal Texts</w:t>
      </w:r>
      <w:r>
        <w:rPr>
          <w:rFonts w:ascii="Cambria" w:cs="Cambria" w:eastAsia="Cambria" w:hAnsi="Cambria"/>
          <w:b w:val="false"/>
          <w:bCs w:val="false"/>
          <w:i w:val="false"/>
          <w:iCs w:val="false"/>
          <w:strike w:val="false"/>
          <w:color w:val="000000"/>
          <w:sz w:val="24"/>
          <w:szCs w:val="24"/>
        </w:rPr>
        <w:t xml:space="preserve"> 170 (2012). When a legislature uses "privilege" in one provision and "franchise" in another — as virtually every state code does — the variation is presumptively intentional. The legislature chose different words because it meant different things. Second, the </w:t>
      </w:r>
      <w:r>
        <w:rPr>
          <w:rFonts w:ascii="Cambria" w:cs="Cambria" w:eastAsia="Cambria" w:hAnsi="Cambria"/>
          <w:b/>
          <w:bCs/>
          <w:i w:val="false"/>
          <w:iCs w:val="false"/>
          <w:strike w:val="false"/>
          <w:color w:val="000000"/>
          <w:sz w:val="24"/>
          <w:szCs w:val="24"/>
        </w:rPr>
        <w:t xml:space="preserve">Surplusage Canon</w:t>
      </w:r>
      <w:r>
        <w:rPr>
          <w:rFonts w:ascii="Cambria" w:cs="Cambria" w:eastAsia="Cambria" w:hAnsi="Cambria"/>
          <w:b w:val="false"/>
          <w:bCs w:val="false"/>
          <w:i w:val="false"/>
          <w:iCs w:val="false"/>
          <w:strike w:val="false"/>
          <w:color w:val="000000"/>
          <w:sz w:val="24"/>
          <w:szCs w:val="24"/>
        </w:rPr>
        <w:t xml:space="preserve"> requires that every word and provision be given effect; none should be rendered superfluous.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174. If "privilege" and "franchise" were synonymous, one term would be surplusage — a result that the Surplusage Canon forbids.</w:t>
      </w: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Third, the maxim </w:t>
      </w:r>
      <w:r>
        <w:rPr>
          <w:rFonts w:ascii="Cambria" w:cs="Cambria" w:eastAsia="Cambria" w:hAnsi="Cambria"/>
          <w:b/>
          <w:bCs/>
          <w:i/>
          <w:iCs/>
          <w:strike w:val="false"/>
          <w:color w:val="000000"/>
          <w:sz w:val="24"/>
          <w:szCs w:val="24"/>
        </w:rPr>
        <w:t xml:space="preserve">expressio unius est exclusio alterius</w:t>
      </w:r>
      <w:r>
        <w:rPr>
          <w:rFonts w:ascii="Cambria" w:cs="Cambria" w:eastAsia="Cambria" w:hAnsi="Cambria"/>
          <w:b w:val="false"/>
          <w:bCs w:val="false"/>
          <w:i w:val="false"/>
          <w:iCs w:val="false"/>
          <w:strike w:val="false"/>
          <w:color w:val="000000"/>
          <w:sz w:val="24"/>
          <w:szCs w:val="24"/>
        </w:rPr>
        <w:t xml:space="preserve"> — the expression of one thing implies the exclusion of another — confirms that a statute granting a "privilege" has, by negative implication, declined to grant a "franchise." The two categories are not interchangeable; they are mutually exclusive at the point of operative classification. A grant denominated as a "privilege" carries the legal incidents of a privilege (revocability, non-transferability, police-power origin) and does </w:t>
      </w:r>
      <w:r>
        <w:rPr>
          <w:rFonts w:ascii="Cambria" w:cs="Cambria" w:eastAsia="Cambria" w:hAnsi="Cambria"/>
          <w:b w:val="false"/>
          <w:bCs w:val="false"/>
          <w:i/>
          <w:iCs/>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carry the incidents of a franchise (contractual protection, property status, constitutional immunity from impairment). Fourth, the </w:t>
      </w:r>
      <w:r>
        <w:rPr>
          <w:rFonts w:ascii="Cambria" w:cs="Cambria" w:eastAsia="Cambria" w:hAnsi="Cambria"/>
          <w:b/>
          <w:bCs/>
          <w:i w:val="false"/>
          <w:iCs w:val="false"/>
          <w:strike w:val="false"/>
          <w:color w:val="000000"/>
          <w:sz w:val="24"/>
          <w:szCs w:val="24"/>
        </w:rPr>
        <w:t xml:space="preserve">Whole-Text Canon</w:t>
      </w:r>
      <w:r>
        <w:rPr>
          <w:rFonts w:ascii="Cambria" w:cs="Cambria" w:eastAsia="Cambria" w:hAnsi="Cambria"/>
          <w:b w:val="false"/>
          <w:bCs w:val="false"/>
          <w:i w:val="false"/>
          <w:iCs w:val="false"/>
          <w:strike w:val="false"/>
          <w:color w:val="000000"/>
          <w:sz w:val="24"/>
          <w:szCs w:val="24"/>
        </w:rPr>
        <w:t xml:space="preserve"> requires that statutes be construed as integrated wholes.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167. The structural placement of "privilege" and "franchise" across different titles, chapters, and sections of a code — with "privilege" appearing in licensing and regulatory titles and "franchise" appearing in municipal corporation, public utility, and corporate law titles — confirms that the legislature understood and maintained a categorical distinction.</w:t>
      </w:r>
    </w:p>
    <w:p>
      <w:pPr>
        <w:pStyle w:val="Heading3"/>
        <w:spacing w:after="120" w:before="240" w:line="312" w:lineRule="auto"/>
      </w:pPr>
      <w:r>
        <w:rPr>
          <w:rFonts w:ascii="Cambria" w:cs="Cambria" w:eastAsia="Cambria" w:hAnsi="Cambria"/>
          <w:color w:val="000000"/>
          <w:sz w:val="28"/>
          <w:szCs w:val="28"/>
        </w:rPr>
        <w:t xml:space="preserve">III.  CROSS-TITLE DEMONSTRATION</w:t>
      </w: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The distinction between privilege and franchise is not theoretical — it is demonstrated across multiple titles of both state and federal codes. State vehicle codes universally characterize driving on public highways as a </w:t>
      </w:r>
      <w:r>
        <w:rPr>
          <w:rFonts w:ascii="Cambria" w:cs="Cambria" w:eastAsia="Cambria" w:hAnsi="Cambria"/>
          <w:b w:val="false"/>
          <w:bCs w:val="false"/>
          <w:i/>
          <w:iCs/>
          <w:strike w:val="false"/>
          <w:color w:val="000000"/>
          <w:sz w:val="24"/>
          <w:szCs w:val="24"/>
        </w:rPr>
        <w:t xml:space="preserve">privilege</w:t>
      </w:r>
      <w:r>
        <w:rPr>
          <w:rFonts w:ascii="Cambria" w:cs="Cambria" w:eastAsia="Cambria" w:hAnsi="Cambria"/>
          <w:b w:val="false"/>
          <w:bCs w:val="false"/>
          <w:i w:val="false"/>
          <w:iCs w:val="false"/>
          <w:strike w:val="false"/>
          <w:color w:val="000000"/>
          <w:sz w:val="24"/>
          <w:szCs w:val="24"/>
        </w:rPr>
        <w:t xml:space="preserve">, not a franchise. </w:t>
      </w:r>
      <w:r>
        <w:rPr>
          <w:rFonts w:ascii="Cambria" w:cs="Cambria" w:eastAsia="Cambria" w:hAnsi="Cambria"/>
          <w:b w:val="false"/>
          <w:bCs w:val="false"/>
          <w:i/>
          <w:iCs/>
          <w:strike w:val="false"/>
          <w:color w:val="000000"/>
          <w:sz w:val="24"/>
          <w:szCs w:val="24"/>
        </w:rPr>
        <w:t xml:space="preserve">See, e.g.</w:t>
      </w:r>
      <w:r>
        <w:rPr>
          <w:rFonts w:ascii="Cambria" w:cs="Cambria" w:eastAsia="Cambria" w:hAnsi="Cambria"/>
          <w:b w:val="false"/>
          <w:bCs w:val="false"/>
          <w:i w:val="false"/>
          <w:iCs w:val="false"/>
          <w:strike w:val="false"/>
          <w:color w:val="000000"/>
          <w:sz w:val="24"/>
          <w:szCs w:val="24"/>
        </w:rPr>
        <w:t xml:space="preserve">, Cal. Veh. Code § 14607.6 (driving is a privilege). The consequence is dispositive: because driving is a privilege, a driver's license may be suspended or revoked administratively without triggering Contract Clause protection. Conversely, municipal utility codes grant public utility franchises as </w:t>
      </w:r>
      <w:r>
        <w:rPr>
          <w:rFonts w:ascii="Cambria" w:cs="Cambria" w:eastAsia="Cambria" w:hAnsi="Cambria"/>
          <w:b w:val="false"/>
          <w:bCs w:val="false"/>
          <w:i/>
          <w:iCs/>
          <w:strike w:val="false"/>
          <w:color w:val="000000"/>
          <w:sz w:val="24"/>
          <w:szCs w:val="24"/>
        </w:rPr>
        <w:t xml:space="preserve">contractual property rights</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See, e.g.</w:t>
      </w:r>
      <w:r>
        <w:rPr>
          <w:rFonts w:ascii="Cambria" w:cs="Cambria" w:eastAsia="Cambria" w:hAnsi="Cambria"/>
          <w:b w:val="false"/>
          <w:bCs w:val="false"/>
          <w:i w:val="false"/>
          <w:iCs w:val="false"/>
          <w:strike w:val="false"/>
          <w:color w:val="000000"/>
          <w:sz w:val="24"/>
          <w:szCs w:val="24"/>
        </w:rPr>
        <w:t xml:space="preserve">, Cal. Pub. Util. Code §§ 6001–6302. These franchise agreements run for fixed terms, require bilateral consent, and cannot be unilaterally impaired without implicating the Contract Clause and the Takings Clause. </w:t>
      </w:r>
      <w:r>
        <w:rPr>
          <w:rFonts w:ascii="Cambria" w:cs="Cambria" w:eastAsia="Cambria" w:hAnsi="Cambria"/>
          <w:b w:val="false"/>
          <w:bCs w:val="false"/>
          <w:i/>
          <w:iCs/>
          <w:strike w:val="false"/>
          <w:color w:val="000000"/>
          <w:sz w:val="24"/>
          <w:szCs w:val="24"/>
        </w:rPr>
        <w:t xml:space="preserve">Central Waterworks, Inc. v. Town of Century</w:t>
      </w:r>
      <w:r>
        <w:rPr>
          <w:rFonts w:ascii="Cambria" w:cs="Cambria" w:eastAsia="Cambria" w:hAnsi="Cambria"/>
          <w:b w:val="false"/>
          <w:bCs w:val="false"/>
          <w:i w:val="false"/>
          <w:iCs w:val="false"/>
          <w:strike w:val="false"/>
          <w:color w:val="000000"/>
          <w:sz w:val="24"/>
          <w:szCs w:val="24"/>
        </w:rPr>
        <w:t xml:space="preserve">, 754 So. 2d 814, 818 (Fla. Dist. Ct. App. 2000).</w:t>
      </w: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Corporate codes maintain the same distinction. The corporate </w:t>
      </w:r>
      <w:r>
        <w:rPr>
          <w:rFonts w:ascii="Cambria" w:cs="Cambria" w:eastAsia="Cambria" w:hAnsi="Cambria"/>
          <w:b w:val="false"/>
          <w:bCs w:val="false"/>
          <w:i/>
          <w:iCs/>
          <w:strike w:val="false"/>
          <w:color w:val="000000"/>
          <w:sz w:val="24"/>
          <w:szCs w:val="24"/>
        </w:rPr>
        <w:t xml:space="preserve">franchise</w:t>
      </w:r>
      <w:r>
        <w:rPr>
          <w:rFonts w:ascii="Cambria" w:cs="Cambria" w:eastAsia="Cambria" w:hAnsi="Cambria"/>
          <w:b w:val="false"/>
          <w:bCs w:val="false"/>
          <w:i w:val="false"/>
          <w:iCs w:val="false"/>
          <w:strike w:val="false"/>
          <w:color w:val="000000"/>
          <w:sz w:val="24"/>
          <w:szCs w:val="24"/>
        </w:rPr>
        <w:t xml:space="preserve"> — the right to exist and operate as a legal entity — is a property right subject to franchise taxation. </w:t>
      </w:r>
      <w:r>
        <w:rPr>
          <w:rFonts w:ascii="Cambria" w:cs="Cambria" w:eastAsia="Cambria" w:hAnsi="Cambria"/>
          <w:b w:val="false"/>
          <w:bCs w:val="false"/>
          <w:i/>
          <w:iCs/>
          <w:strike w:val="false"/>
          <w:color w:val="000000"/>
          <w:sz w:val="24"/>
          <w:szCs w:val="24"/>
        </w:rPr>
        <w:t xml:space="preserve">In re South Bay Expressway, L.P.</w:t>
      </w:r>
      <w:r>
        <w:rPr>
          <w:rFonts w:ascii="Cambria" w:cs="Cambria" w:eastAsia="Cambria" w:hAnsi="Cambria"/>
          <w:b w:val="false"/>
          <w:bCs w:val="false"/>
          <w:i w:val="false"/>
          <w:iCs w:val="false"/>
          <w:strike w:val="false"/>
          <w:color w:val="000000"/>
          <w:sz w:val="24"/>
          <w:szCs w:val="24"/>
        </w:rPr>
        <w:t xml:space="preserve">, 434 B.R. 589, 598–99 (Bankr. S.D. Cal. 2010). Corporate </w:t>
      </w:r>
      <w:r>
        <w:rPr>
          <w:rFonts w:ascii="Cambria" w:cs="Cambria" w:eastAsia="Cambria" w:hAnsi="Cambria"/>
          <w:b w:val="false"/>
          <w:bCs w:val="false"/>
          <w:i/>
          <w:iCs/>
          <w:strike w:val="false"/>
          <w:color w:val="000000"/>
          <w:sz w:val="24"/>
          <w:szCs w:val="24"/>
        </w:rPr>
        <w:t xml:space="preserve">privileges</w:t>
      </w:r>
      <w:r>
        <w:rPr>
          <w:rFonts w:ascii="Cambria" w:cs="Cambria" w:eastAsia="Cambria" w:hAnsi="Cambria"/>
          <w:b w:val="false"/>
          <w:bCs w:val="false"/>
          <w:i w:val="false"/>
          <w:iCs w:val="false"/>
          <w:strike w:val="false"/>
          <w:color w:val="000000"/>
          <w:sz w:val="24"/>
          <w:szCs w:val="24"/>
        </w:rPr>
        <w:t xml:space="preserve"> — specific operational permissions such as the authority to transact business in a foreign state — are regulatory permissions revocable upon noncompliance. At the federal level, the Cable Communications Policy Act of 1984, 47 U.S.C. §§ 521–573, denominated cable television authorizations as "franchises," deliberately invoking the contractual and property-right framework — a choice Congress would not have made if the term were interchangeable with "license" or "privilege."</w:t>
      </w:r>
    </w:p>
    <w:p>
      <w:pPr>
        <w:pStyle w:val="Heading3"/>
        <w:spacing w:after="120" w:before="240" w:line="312" w:lineRule="auto"/>
      </w:pPr>
      <w:r>
        <w:rPr>
          <w:rFonts w:ascii="Cambria" w:cs="Cambria" w:eastAsia="Cambria" w:hAnsi="Cambria"/>
          <w:color w:val="000000"/>
          <w:sz w:val="28"/>
          <w:szCs w:val="28"/>
        </w:rPr>
        <w:t xml:space="preserve">IV.  CONCLUSION</w:t>
      </w:r>
    </w:p>
    <w:p>
      <w:pPr>
        <w:spacing w:after="120" w:before="60" w:line="360" w:lineRule="auto"/>
        <w:ind w:firstLine="720"/>
      </w:pPr>
      <w:r>
        <w:rPr>
          <w:rFonts w:ascii="Cambria" w:cs="Cambria" w:eastAsia="Cambria" w:hAnsi="Cambria"/>
          <w:b w:val="false"/>
          <w:bCs w:val="false"/>
          <w:i w:val="false"/>
          <w:iCs w:val="false"/>
          <w:strike w:val="false"/>
          <w:color w:val="000000"/>
          <w:sz w:val="24"/>
          <w:szCs w:val="24"/>
        </w:rPr>
        <w:t xml:space="preserve">Courts must honor the doctrinal boundary between civil privileges and civil franchises. Failure to do so collapses distinct constitutional protections, defeats legislative intent as expressed through material variation in terminology, and produces results that are not merely erroneous but absurd — violating the </w:t>
      </w:r>
      <w:r>
        <w:rPr>
          <w:rFonts w:ascii="Cambria" w:cs="Cambria" w:eastAsia="Cambria" w:hAnsi="Cambria"/>
          <w:b/>
          <w:bCs/>
          <w:i w:val="false"/>
          <w:iCs w:val="false"/>
          <w:strike w:val="false"/>
          <w:color w:val="000000"/>
          <w:sz w:val="24"/>
          <w:szCs w:val="24"/>
        </w:rPr>
        <w:t xml:space="preserve">Absurdity Doctrine</w:t>
      </w:r>
      <w:r>
        <w:rPr>
          <w:rFonts w:ascii="Cambria" w:cs="Cambria" w:eastAsia="Cambria" w:hAnsi="Cambria"/>
          <w:b w:val="false"/>
          <w:bCs w:val="false"/>
          <w:i w:val="false"/>
          <w:iCs w:val="false"/>
          <w:strike w:val="false"/>
          <w:color w:val="000000"/>
          <w:sz w:val="24"/>
          <w:szCs w:val="24"/>
        </w:rPr>
        <w:t xml:space="preserve">, which requires that statutes not be construed to produce unreasonable or unjust outcomes.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Scalia &amp; Garner, </w:t>
      </w:r>
      <w:r>
        <w:rPr>
          <w:rFonts w:ascii="Cambria" w:cs="Cambria" w:eastAsia="Cambria" w:hAnsi="Cambria"/>
          <w:b w:val="false"/>
          <w:bCs w:val="false"/>
          <w:i/>
          <w:iCs/>
          <w:strike w:val="false"/>
          <w:color w:val="000000"/>
          <w:sz w:val="24"/>
          <w:szCs w:val="24"/>
        </w:rPr>
        <w:t xml:space="preserve">Reading Law</w:t>
      </w:r>
      <w:r>
        <w:rPr>
          <w:rFonts w:ascii="Cambria" w:cs="Cambria" w:eastAsia="Cambria" w:hAnsi="Cambria"/>
          <w:b w:val="false"/>
          <w:bCs w:val="false"/>
          <w:i w:val="false"/>
          <w:iCs w:val="false"/>
          <w:strike w:val="false"/>
          <w:color w:val="000000"/>
          <w:sz w:val="24"/>
          <w:szCs w:val="24"/>
        </w:rPr>
        <w:t xml:space="preserve"> 234–39 (2012). A court that treats a franchise as a mere privilege strips the franchise holder of Contract Clause protection, takings immunity, and property-right remedies without justification. A court that treats a privilege as a franchise confers constitutional protections the legislature never intended to extend. Practitioners and courts should apply the classification flowchart set forth in Artifact 2 of this document to ensure that each statute is properly categorized before determining the applicable standard of review, constitutional protections, and remedial framework. Precision in classification is not pedantry — it is the foundation of the rule of law.</w:t>
      </w:r>
    </w:p>
    <w:p>
      <w:pPr>
        <w:pBdr>
          <w:bottom w:val="single" w:color="000000" w:sz="6"/>
        </w:pBdr>
        <w:spacing w:after="240" w:before="240"/>
      </w:pPr>
    </w:p>
    <w:p>
      <w:pPr>
        <w:spacing w:after="120" w:before="60" w:line="360" w:lineRule="auto"/>
        <w:jc w:val="center"/>
      </w:pPr>
      <w:r>
        <w:rPr>
          <w:rFonts w:ascii="Cambria" w:cs="Cambria" w:eastAsia="Cambria" w:hAnsi="Cambria"/>
          <w:b w:val="false"/>
          <w:bCs w:val="false"/>
          <w:i/>
          <w:iCs/>
          <w:strike w:val="false"/>
          <w:color w:val="000000"/>
          <w:sz w:val="24"/>
          <w:szCs w:val="24"/>
        </w:rPr>
        <w:t xml:space="preserve">— End of Document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HkQoJtCa3GGkNcqoMWyez</dc:title>
  <dc:creator>Un-named</dc:creator>
  <dc:description>Generated document</dc:description>
  <cp:lastModifiedBy>Un-named</cp:lastModifiedBy>
  <cp:revision>1</cp:revision>
  <dcterms:created xsi:type="dcterms:W3CDTF">2026-04-19T17:53:21.070Z</dcterms:created>
  <dcterms:modified xsi:type="dcterms:W3CDTF">2026-04-19T17:53:21.070Z</dcterms:modified>
</cp:coreProperties>
</file>

<file path=docProps/custom.xml><?xml version="1.0" encoding="utf-8"?>
<Properties xmlns="http://schemas.openxmlformats.org/officeDocument/2006/custom-properties" xmlns:vt="http://schemas.openxmlformats.org/officeDocument/2006/docPropsVTypes"/>
</file>