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480" w:line="312" w:lineRule="auto"/>
        <w:jc w:val="center"/>
      </w:pPr>
      <w:r>
        <w:rPr>
          <w:rFonts w:ascii="Cambria" w:cs="Cambria" w:eastAsia="Cambria" w:hAnsi="Cambria"/>
          <w:color w:val="000000"/>
          <w:sz w:val="48"/>
          <w:szCs w:val="48"/>
        </w:rPr>
        <w:t xml:space="preserve">PUB/PRI DOCTRINE ARTIFACT SUITE</w:t>
      </w:r>
    </w:p>
    <w:p>
      <w:pPr>
        <w:spacing w:after="120" w:before="60" w:line="360" w:lineRule="auto"/>
        <w:jc w:val="center"/>
      </w:pPr>
      <w:r>
        <w:rPr>
          <w:rFonts w:ascii="Cambria" w:cs="Cambria" w:eastAsia="Cambria" w:hAnsi="Cambria"/>
          <w:b w:val="false"/>
          <w:bCs w:val="false"/>
          <w:i w:val="false"/>
          <w:iCs w:val="false"/>
          <w:strike w:val="false"/>
          <w:color w:val="333333"/>
          <w:sz w:val="24"/>
          <w:szCs w:val="24"/>
        </w:rPr>
        <w:t xml:space="preserve">Five Integrated Litigation Artifacts for Capacity Analysis</w:t>
      </w:r>
      <w:r>
        <w:rPr>
          <w:rFonts w:ascii="Cambria" w:cs="Cambria" w:eastAsia="Cambria" w:hAnsi="Cambria"/>
          <w:b w:val="false"/>
          <w:bCs w:val="false"/>
          <w:i w:val="false"/>
          <w:iCs w:val="false"/>
          <w:color w:val="333333"/>
          <w:sz w:val="24"/>
          <w:szCs w:val="24"/>
        </w:rPr>
        <w:br/>
      </w:r>
      <w:r>
        <w:rPr>
          <w:rFonts w:ascii="Cambria" w:cs="Cambria" w:eastAsia="Cambria" w:hAnsi="Cambria"/>
          <w:b w:val="false"/>
          <w:bCs w:val="false"/>
          <w:i w:val="false"/>
          <w:iCs w:val="false"/>
          <w:strike w:val="false"/>
          <w:color w:val="333333"/>
          <w:sz w:val="24"/>
          <w:szCs w:val="24"/>
        </w:rPr>
        <w:t xml:space="preserve">Under the Governmental-Proprietary Distinction</w:t>
      </w:r>
    </w:p>
    <w:p>
      <w:pPr>
        <w:spacing w:after="60" w:before="60" w:line="360" w:lineRule="auto"/>
        <w:jc w:val="center"/>
      </w:pPr>
      <w:r>
        <w:rPr>
          <w:rFonts w:ascii="Cambria" w:cs="Cambria" w:eastAsia="Cambria" w:hAnsi="Cambria"/>
          <w:b w:val="false"/>
          <w:bCs w:val="false"/>
          <w:i w:val="false"/>
          <w:iCs w:val="false"/>
          <w:strike w:val="false"/>
          <w:color w:val="666666"/>
          <w:sz w:val="24"/>
          <w:szCs w:val="24"/>
        </w:rPr>
        <w:t xml:space="preserve">Prepared April 27, 2026</w:t>
      </w:r>
    </w:p>
    <w:p>
      <w:pPr>
        <w:pBdr>
          <w:bottom w:val="single" w:color="000000" w:sz="6"/>
        </w:pBdr>
        <w:spacing w:after="240" w:before="240"/>
      </w:pPr>
    </w:p>
    <w:p>
      <w:pPr>
        <w:pStyle w:val="Heading1"/>
        <w:spacing w:after="120" w:before="480" w:line="312" w:lineRule="auto"/>
      </w:pPr>
      <w:r>
        <w:rPr>
          <w:rFonts w:ascii="Cambria" w:cs="Cambria" w:eastAsia="Cambria" w:hAnsi="Cambria"/>
          <w:color w:val="000000"/>
          <w:sz w:val="48"/>
          <w:szCs w:val="48"/>
        </w:rPr>
        <w:t xml:space="preserve">Introduction</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governmental-proprietary distinction is one of the oldest and most contested boundaries in American public law. Courts have characterized it as “illusory,” </w:t>
      </w:r>
      <w:r>
        <w:rPr>
          <w:rFonts w:ascii="Cambria" w:cs="Cambria" w:eastAsia="Cambria" w:hAnsi="Cambria"/>
          <w:b w:val="false"/>
          <w:bCs w:val="false"/>
          <w:i/>
          <w:iCs/>
          <w:strike w:val="false"/>
          <w:color w:val="000000"/>
          <w:sz w:val="24"/>
          <w:szCs w:val="24"/>
        </w:rPr>
        <w:t xml:space="preserve">Township of Washington v. Village of Ridgewood</w:t>
      </w:r>
      <w:r>
        <w:rPr>
          <w:rFonts w:ascii="Cambria" w:cs="Cambria" w:eastAsia="Cambria" w:hAnsi="Cambria"/>
          <w:b w:val="false"/>
          <w:bCs w:val="false"/>
          <w:i w:val="false"/>
          <w:iCs w:val="false"/>
          <w:strike w:val="false"/>
          <w:color w:val="000000"/>
          <w:sz w:val="24"/>
          <w:szCs w:val="24"/>
        </w:rPr>
        <w:t xml:space="preserve">, as a “quagmire,” </w:t>
      </w:r>
      <w:r>
        <w:rPr>
          <w:rFonts w:ascii="Cambria" w:cs="Cambria" w:eastAsia="Cambria" w:hAnsi="Cambria"/>
          <w:b w:val="false"/>
          <w:bCs w:val="false"/>
          <w:i/>
          <w:iCs/>
          <w:strike w:val="false"/>
          <w:color w:val="000000"/>
          <w:sz w:val="24"/>
          <w:szCs w:val="24"/>
        </w:rPr>
        <w:t xml:space="preserve">Indian Towing Co. v. United States</w:t>
      </w:r>
      <w:r>
        <w:rPr>
          <w:rFonts w:ascii="Cambria" w:cs="Cambria" w:eastAsia="Cambria" w:hAnsi="Cambria"/>
          <w:b w:val="false"/>
          <w:bCs w:val="false"/>
          <w:i w:val="false"/>
          <w:iCs w:val="false"/>
          <w:strike w:val="false"/>
          <w:color w:val="000000"/>
          <w:sz w:val="24"/>
          <w:szCs w:val="24"/>
        </w:rPr>
        <w:t xml:space="preserve">, 350 U.S. 61, 65 (1955), and as “inherently unsound,” </w:t>
      </w:r>
      <w:r>
        <w:rPr>
          <w:rFonts w:ascii="Cambria" w:cs="Cambria" w:eastAsia="Cambria" w:hAnsi="Cambria"/>
          <w:b w:val="false"/>
          <w:bCs w:val="false"/>
          <w:i/>
          <w:iCs/>
          <w:strike w:val="false"/>
          <w:color w:val="000000"/>
          <w:sz w:val="24"/>
          <w:szCs w:val="24"/>
        </w:rPr>
        <w:t xml:space="preserve">id.</w:t>
      </w:r>
      <w:r>
        <w:rPr>
          <w:rFonts w:ascii="Cambria" w:cs="Cambria" w:eastAsia="Cambria" w:hAnsi="Cambria"/>
          <w:b w:val="false"/>
          <w:bCs w:val="false"/>
          <w:i w:val="false"/>
          <w:iCs w:val="false"/>
          <w:strike w:val="false"/>
          <w:color w:val="000000"/>
          <w:sz w:val="24"/>
          <w:szCs w:val="24"/>
        </w:rPr>
        <w:t xml:space="preserve"> Yet the distinction persists—and persists with doctrinal force—because it answers an irreducible question: </w:t>
      </w:r>
      <w:r>
        <w:rPr>
          <w:rFonts w:ascii="Cambria" w:cs="Cambria" w:eastAsia="Cambria" w:hAnsi="Cambria"/>
          <w:b/>
          <w:bCs/>
          <w:i w:val="false"/>
          <w:iCs w:val="false"/>
          <w:strike w:val="false"/>
          <w:color w:val="000000"/>
          <w:sz w:val="24"/>
          <w:szCs w:val="24"/>
        </w:rPr>
        <w:t xml:space="preserve">When does the state act as sovereign, and when does it act as market participant?</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answer to that question determines the applicable liability framework, the availability of sovereign immunity, the governing body of law (public or private), the remedial options available to injured parties, and the constitutional constraints that bind state action. A state acting in its sovereign capacity wields the police power, enjoys presumptive immunity, and is accountable through the political process. A state acting in its proprietary capacity enters the marketplace, assumes the obligations of a private party, and is accountable through the mechanisms of contract and tort. The two capacities are doctrinally distinct, and the transition between them must be lawful.</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This suite identifies </w:t>
      </w:r>
      <w:r>
        <w:rPr>
          <w:rFonts w:ascii="Cambria" w:cs="Cambria" w:eastAsia="Cambria" w:hAnsi="Cambria"/>
          <w:b/>
          <w:bCs/>
          <w:i w:val="false"/>
          <w:iCs w:val="false"/>
          <w:strike w:val="false"/>
          <w:color w:val="000000"/>
          <w:sz w:val="24"/>
          <w:szCs w:val="24"/>
        </w:rPr>
        <w:t xml:space="preserve">four—and only four—lawful connectors</w:t>
      </w:r>
      <w:r>
        <w:rPr>
          <w:rFonts w:ascii="Cambria" w:cs="Cambria" w:eastAsia="Cambria" w:hAnsi="Cambria"/>
          <w:b w:val="false"/>
          <w:bCs w:val="false"/>
          <w:i w:val="false"/>
          <w:iCs w:val="false"/>
          <w:strike w:val="false"/>
          <w:color w:val="000000"/>
          <w:sz w:val="24"/>
          <w:szCs w:val="24"/>
        </w:rPr>
        <w:t xml:space="preserve"> that permit a transition between PUB (sovereign/governmental) and PRI (proprietary/market-participant) capacity: (1) Statutory Waiver, (2) Contractual Entry, (3) Informed Consent, and (4) Due Process Transition. Any attempt to shift between capacities outside these four connectors is doctrinally unlawful. The five artifacts that follow map this doctrine, distinguish the two capacities, identify failure modes, operationalize the analysis, and deploy the framework in litigation.</w:t>
      </w:r>
    </w:p>
    <w:p>
      <w:pPr>
        <w:pStyle w:val="Heading1"/>
        <w:spacing w:after="120" w:before="480" w:line="312" w:lineRule="auto"/>
      </w:pPr>
      <w:r>
        <w:rPr>
          <w:rFonts w:ascii="Cambria" w:cs="Cambria" w:eastAsia="Cambria" w:hAnsi="Cambria"/>
          <w:color w:val="000000"/>
          <w:sz w:val="48"/>
          <w:szCs w:val="48"/>
        </w:rPr>
        <w:t xml:space="preserve">Artifact 1: Flowchart — The Four Lawful PUB/PRI Connectors</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following structured diagram maps the four lawful pathways by which the state may transition between sovereign (PUB) and proprietary (PRI) capacity. Each connector specifies the direction of transition, the governing constitutional test, and the case anchor establishing the doctrine.</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999999" w:sz="6"/>
              <w:left w:val="single" w:color="999999" w:sz="6"/>
              <w:bottom w:val="single" w:color="999999" w:sz="6"/>
              <w:right w:val="single" w:color="999999" w:sz="6"/>
            </w:tcBorders>
            <w:shd w:fill="F9F9F9" w:color="auto" w:val="clear"/>
            <w:tcMar>
              <w:top w:type="dxa" w:w="240"/>
              <w:left w:type="dxa" w:w="240"/>
              <w:bottom w:type="dxa" w:w="240"/>
              <w:right w:type="dxa" w:w="240"/>
            </w:tcMar>
          </w:tcPr>
          <w:p>
            <w:pPr>
              <w:spacing w:after="120" w:line="408" w:lineRule="auto"/>
            </w:pPr>
            <w:r>
              <w:t xml:space="preserve">┌─────────────────────────────┐
                    │    STATE ACTION INITIATED    │
                    └──────────────┬──────────────┘
                                   │
                                   ▼
                    ┌─────────────────────────────┐
                    │  IDENTIFY CURRENT CAPACITY   │
                    └──────────┬──────┬───────────┘
                               │      │
              ┌────────────────┘      └────────────────┐
              ▼                                        ▼
┌───────────────────────┐            ┌───────────────────────────┐
│    PUB CAPACITY       │            │      PRI CAPACITY         │
│ Sovereign /           │            │  Proprietary /            │
│ Governmental          │            │  Market-Participant       │
└───────────┬───────────┘            └─────────────┬─────────────┘
            │                                      │
            │  LAWFUL CONNECTORS                   │  LAWFUL CONNECTORS
            │  (PUB → PRI)                         │  (PRI → PUB)
            │                                      │
    ┌───────┴───────┐                      ┌───────┴───────┐
    │               │                      │               │
    ▼               ▼                      ▼               ▼
┌────────┐   ┌────────────┐        ┌──────────┐   ┌────────────┐
│CONNECT.│   │ CONNECTOR  │        │CONNECTOR │   │ CONNECTOR  │
│   1    │   │     2      │        │    3     │   │     4      │
│Statutory│  │Contractual │        │ Informed │   │Due Process │
│ Waiver │   │   Entry    │        │ Consent  │   │ Transition │
└────┬───┘   └─────┬──────┘        └────┬─────┘   └─────┬──────┘
     │             │                    │               │
     ▼             ▼                    ▼               ▼
  PUB → PRI    PUB → PRI           PRI → PUB       PRI → PUB</w:t>
            </w:r>
          </w:p>
        </w:tc>
      </w:tr>
    </w:tbl>
    <w:p>
      <w:pPr>
        <w:spacing w:after="240" w:before="0"/>
      </w:pPr>
    </w:p>
    <w:p>
      <w:pPr>
        <w:pStyle w:val="Heading2"/>
        <w:spacing w:after="120" w:before="360" w:line="312" w:lineRule="auto"/>
      </w:pPr>
      <w:r>
        <w:rPr>
          <w:rFonts w:ascii="Cambria" w:cs="Cambria" w:eastAsia="Cambria" w:hAnsi="Cambria"/>
          <w:color w:val="000000"/>
          <w:sz w:val="36"/>
          <w:szCs w:val="36"/>
        </w:rPr>
        <w:t xml:space="preserve">Connector 1: Statutory Waiver</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Mechanism</w:t>
            </w:r>
          </w:p>
        </w:tc>
        <w:tc>
          <w:tcPr>
            <w:tcW w:type="pct" w:w="92%"/>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Legislature expressly waives sovereign immunity for a specific activity or class of claims</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Capacity Shift</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PUB → PRI (state submits to private-law standards of liability)</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Key Test</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Is the waiver </w:t>
            </w:r>
            <w:r>
              <w:rPr>
                <w:rFonts w:ascii="Cambria" w:cs="Cambria" w:eastAsia="Cambria" w:hAnsi="Cambria"/>
                <w:b/>
                <w:bCs/>
                <w:i w:val="false"/>
                <w:iCs w:val="false"/>
                <w:strike w:val="false"/>
                <w:color w:val="000000"/>
                <w:sz w:val="24"/>
                <w:szCs w:val="24"/>
              </w:rPr>
              <w:t xml:space="preserve">explicit</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specific</w:t>
            </w:r>
            <w:r>
              <w:rPr>
                <w:rFonts w:ascii="Cambria" w:cs="Cambria" w:eastAsia="Cambria" w:hAnsi="Cambria"/>
                <w:b w:val="false"/>
                <w:bCs w:val="false"/>
                <w:i w:val="false"/>
                <w:iCs w:val="false"/>
                <w:strike w:val="false"/>
                <w:color w:val="000000"/>
                <w:sz w:val="24"/>
                <w:szCs w:val="24"/>
              </w:rPr>
              <w:t xml:space="preserve">, and </w:t>
            </w:r>
            <w:r>
              <w:rPr>
                <w:rFonts w:ascii="Cambria" w:cs="Cambria" w:eastAsia="Cambria" w:hAnsi="Cambria"/>
                <w:b/>
                <w:bCs/>
                <w:i w:val="false"/>
                <w:iCs w:val="false"/>
                <w:strike w:val="false"/>
                <w:color w:val="000000"/>
                <w:sz w:val="24"/>
                <w:szCs w:val="24"/>
              </w:rPr>
              <w:t xml:space="preserve">unambiguous</w:t>
            </w:r>
            <w:r>
              <w:rPr>
                <w:rFonts w:ascii="Cambria" w:cs="Cambria" w:eastAsia="Cambria" w:hAnsi="Cambria"/>
                <w:b w:val="false"/>
                <w:bCs w:val="false"/>
                <w:i w:val="false"/>
                <w:iCs w:val="false"/>
                <w:strike w:val="false"/>
                <w:color w:val="000000"/>
                <w:sz w:val="24"/>
                <w:szCs w:val="24"/>
              </w:rPr>
              <w:t xml:space="preserve">? A waiver of sovereign immunity will not be implied; it must be stated in unmistakable statutory language.</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Examples</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State tort claims acts; Federal Tort Claims Act, 28 U.S.C. §§ 1346(b), 2671–2680; 42 U.S.C. § 1983 actions (legislative creation of cause of action against state actors)</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Case Anchor</w:t>
            </w:r>
          </w:p>
        </w:tc>
        <w:tc>
          <w:tcPr>
            <w:tcW w:type="pct" w:w="92%"/>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Alden v. Maine</w:t>
            </w:r>
            <w:r>
              <w:rPr>
                <w:rFonts w:ascii="Cambria" w:cs="Cambria" w:eastAsia="Cambria" w:hAnsi="Cambria"/>
                <w:b w:val="false"/>
                <w:bCs w:val="false"/>
                <w:i w:val="false"/>
                <w:iCs w:val="false"/>
                <w:strike w:val="false"/>
                <w:color w:val="000000"/>
                <w:sz w:val="24"/>
                <w:szCs w:val="24"/>
              </w:rPr>
              <w:t xml:space="preserve">, 527 U.S. 706 (1999) (sovereign immunity is a constitutional default; waiver must be unequivocal)</w:t>
            </w:r>
          </w:p>
        </w:tc>
      </w:tr>
    </w:tbl>
    <w:p>
      <w:pPr>
        <w:spacing w:after="200" w:before="0"/>
      </w:pPr>
    </w:p>
    <w:p>
      <w:pPr>
        <w:pStyle w:val="Heading2"/>
        <w:spacing w:after="120" w:before="360" w:line="312" w:lineRule="auto"/>
      </w:pPr>
      <w:r>
        <w:rPr>
          <w:rFonts w:ascii="Cambria" w:cs="Cambria" w:eastAsia="Cambria" w:hAnsi="Cambria"/>
          <w:color w:val="000000"/>
          <w:sz w:val="36"/>
          <w:szCs w:val="36"/>
        </w:rPr>
        <w:t xml:space="preserve">Connector 2: Contractual Entry</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Mechanism</w:t>
            </w:r>
          </w:p>
        </w:tc>
        <w:tc>
          <w:tcPr>
            <w:tcW w:type="pct" w:w="92%"/>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State voluntarily enters the marketplace as a contracting party, assuming the rights and obligations of a private market participant</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Capacity Shift</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PUB → PRI (state assumes obligations of a private party and forfeits sovereign shields for that activity)</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Key Test</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Would a </w:t>
            </w:r>
            <w:r>
              <w:rPr>
                <w:rFonts w:ascii="Cambria" w:cs="Cambria" w:eastAsia="Cambria" w:hAnsi="Cambria"/>
                <w:b/>
                <w:bCs/>
                <w:i w:val="false"/>
                <w:iCs w:val="false"/>
                <w:strike w:val="false"/>
                <w:color w:val="000000"/>
                <w:sz w:val="24"/>
                <w:szCs w:val="24"/>
              </w:rPr>
              <w:t xml:space="preserve">private entity</w:t>
            </w:r>
            <w:r>
              <w:rPr>
                <w:rFonts w:ascii="Cambria" w:cs="Cambria" w:eastAsia="Cambria" w:hAnsi="Cambria"/>
                <w:b w:val="false"/>
                <w:bCs w:val="false"/>
                <w:i w:val="false"/>
                <w:iCs w:val="false"/>
                <w:strike w:val="false"/>
                <w:color w:val="000000"/>
                <w:sz w:val="24"/>
                <w:szCs w:val="24"/>
              </w:rPr>
              <w:t xml:space="preserve"> perform the same function </w:t>
            </w:r>
            <w:r>
              <w:rPr>
                <w:rFonts w:ascii="Cambria" w:cs="Cambria" w:eastAsia="Cambria" w:hAnsi="Cambria"/>
                <w:b/>
                <w:bCs/>
                <w:i w:val="false"/>
                <w:iCs w:val="false"/>
                <w:strike w:val="false"/>
                <w:color w:val="000000"/>
                <w:sz w:val="24"/>
                <w:szCs w:val="24"/>
              </w:rPr>
              <w:t xml:space="preserve">for profit</w:t>
            </w:r>
            <w:r>
              <w:rPr>
                <w:rFonts w:ascii="Cambria" w:cs="Cambria" w:eastAsia="Cambria" w:hAnsi="Cambria"/>
                <w:b w:val="false"/>
                <w:bCs w:val="false"/>
                <w:i w:val="false"/>
                <w:iCs w:val="false"/>
                <w:strike w:val="false"/>
                <w:color w:val="000000"/>
                <w:sz w:val="24"/>
                <w:szCs w:val="24"/>
              </w:rPr>
              <w:t xml:space="preserve">? Is the state participating in the market rather than regulating it?</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Examples</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Municipal utilities; government-run enterprises; procurement contracts; state-owned liquor stores; public university auxiliary services</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Case Anchors</w:t>
            </w:r>
          </w:p>
        </w:tc>
        <w:tc>
          <w:tcPr>
            <w:tcW w:type="pct" w:w="92%"/>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Reeves, Inc. v. Stake</w:t>
            </w:r>
            <w:r>
              <w:rPr>
                <w:rFonts w:ascii="Cambria" w:cs="Cambria" w:eastAsia="Cambria" w:hAnsi="Cambria"/>
                <w:b w:val="false"/>
                <w:bCs w:val="false"/>
                <w:i w:val="false"/>
                <w:iCs w:val="false"/>
                <w:strike w:val="false"/>
                <w:color w:val="000000"/>
                <w:sz w:val="24"/>
                <w:szCs w:val="24"/>
              </w:rPr>
              <w:t xml:space="preserve">, 447 U.S. 429 (1980) (market-participant exception to dormant Commerce Clause); </w:t>
            </w:r>
            <w:r>
              <w:rPr>
                <w:rFonts w:ascii="Cambria" w:cs="Cambria" w:eastAsia="Cambria" w:hAnsi="Cambria"/>
                <w:b w:val="false"/>
                <w:bCs w:val="false"/>
                <w:i/>
                <w:iCs/>
                <w:strike w:val="false"/>
                <w:color w:val="000000"/>
                <w:sz w:val="24"/>
                <w:szCs w:val="24"/>
              </w:rPr>
              <w:t xml:space="preserve">South-Central Timber Dev., Inc. v. Wunnicke</w:t>
            </w:r>
            <w:r>
              <w:rPr>
                <w:rFonts w:ascii="Cambria" w:cs="Cambria" w:eastAsia="Cambria" w:hAnsi="Cambria"/>
                <w:b w:val="false"/>
                <w:bCs w:val="false"/>
                <w:i w:val="false"/>
                <w:iCs w:val="false"/>
                <w:strike w:val="false"/>
                <w:color w:val="000000"/>
                <w:sz w:val="24"/>
                <w:szCs w:val="24"/>
              </w:rPr>
              <w:t xml:space="preserve">, 467 U.S. 82 (1984) (limits of market-participant doctrine)</w:t>
            </w:r>
          </w:p>
        </w:tc>
      </w:tr>
    </w:tbl>
    <w:p>
      <w:pPr>
        <w:spacing w:after="200" w:before="0"/>
      </w:pPr>
    </w:p>
    <w:p>
      <w:pPr>
        <w:pStyle w:val="Heading2"/>
        <w:spacing w:after="120" w:before="360" w:line="312" w:lineRule="auto"/>
      </w:pPr>
      <w:r>
        <w:rPr>
          <w:rFonts w:ascii="Cambria" w:cs="Cambria" w:eastAsia="Cambria" w:hAnsi="Cambria"/>
          <w:color w:val="000000"/>
          <w:sz w:val="36"/>
          <w:szCs w:val="36"/>
        </w:rPr>
        <w:t xml:space="preserve">Connector 3: Informed Consent</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9%"/>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Mechanism</w:t>
            </w:r>
          </w:p>
        </w:tc>
        <w:tc>
          <w:tcPr>
            <w:tcW w:type="pct" w:w="91%"/>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Individual knowingly and voluntarily submits to state authority, consenting to the exercise of sovereign jurisdiction over a private interest</w:t>
            </w:r>
          </w:p>
        </w:tc>
      </w:tr>
      <w:tr>
        <w:trPr>
          <w:tblHeader w:val="false"/>
        </w:trPr>
        <w:tc>
          <w:tcPr>
            <w:tcW w:type="pct" w:w="9%"/>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Capacity Shift</w:t>
            </w:r>
          </w:p>
        </w:tc>
        <w:tc>
          <w:tcPr>
            <w:tcW w:type="pct" w:w="9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PRI → PUB (citizen consents to sovereign jurisdiction; private interest is voluntarily placed under governmental authority)</w:t>
            </w:r>
          </w:p>
        </w:tc>
      </w:tr>
      <w:tr>
        <w:trPr>
          <w:tblHeader w:val="false"/>
        </w:trPr>
        <w:tc>
          <w:tcPr>
            <w:tcW w:type="pct" w:w="9%"/>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Key Test</w:t>
            </w:r>
          </w:p>
        </w:tc>
        <w:tc>
          <w:tcPr>
            <w:tcW w:type="pct" w:w="9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Was consent </w:t>
            </w:r>
            <w:r>
              <w:rPr>
                <w:rFonts w:ascii="Cambria" w:cs="Cambria" w:eastAsia="Cambria" w:hAnsi="Cambria"/>
                <w:b/>
                <w:bCs/>
                <w:i w:val="false"/>
                <w:iCs w:val="false"/>
                <w:strike w:val="false"/>
                <w:color w:val="000000"/>
                <w:sz w:val="24"/>
                <w:szCs w:val="24"/>
              </w:rPr>
              <w:t xml:space="preserve">knowing</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voluntary</w:t>
            </w:r>
            <w:r>
              <w:rPr>
                <w:rFonts w:ascii="Cambria" w:cs="Cambria" w:eastAsia="Cambria" w:hAnsi="Cambria"/>
                <w:b w:val="false"/>
                <w:bCs w:val="false"/>
                <w:i w:val="false"/>
                <w:iCs w:val="false"/>
                <w:strike w:val="false"/>
                <w:color w:val="000000"/>
                <w:sz w:val="24"/>
                <w:szCs w:val="24"/>
              </w:rPr>
              <w:t xml:space="preserve">, and </w:t>
            </w:r>
            <w:r>
              <w:rPr>
                <w:rFonts w:ascii="Cambria" w:cs="Cambria" w:eastAsia="Cambria" w:hAnsi="Cambria"/>
                <w:b/>
                <w:bCs/>
                <w:i w:val="false"/>
                <w:iCs w:val="false"/>
                <w:strike w:val="false"/>
                <w:color w:val="000000"/>
                <w:sz w:val="24"/>
                <w:szCs w:val="24"/>
              </w:rPr>
              <w:t xml:space="preserve">uncoerced</w:t>
            </w:r>
            <w:r>
              <w:rPr>
                <w:rFonts w:ascii="Cambria" w:cs="Cambria" w:eastAsia="Cambria" w:hAnsi="Cambria"/>
                <w:b w:val="false"/>
                <w:bCs w:val="false"/>
                <w:i w:val="false"/>
                <w:iCs w:val="false"/>
                <w:strike w:val="false"/>
                <w:color w:val="000000"/>
                <w:sz w:val="24"/>
                <w:szCs w:val="24"/>
              </w:rPr>
              <w:t xml:space="preserve">? Was there a meaningful alternative to submission?</w:t>
            </w:r>
          </w:p>
        </w:tc>
      </w:tr>
      <w:tr>
        <w:trPr>
          <w:tblHeader w:val="false"/>
        </w:trPr>
        <w:tc>
          <w:tcPr>
            <w:tcW w:type="pct" w:w="9%"/>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Examples</w:t>
            </w:r>
          </w:p>
        </w:tc>
        <w:tc>
          <w:tcPr>
            <w:tcW w:type="pct" w:w="9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Licensing agreements; voluntary regulatory enrollment; plea agreements; consent searches; voluntary participation in government programs</w:t>
            </w:r>
          </w:p>
        </w:tc>
      </w:tr>
      <w:tr>
        <w:trPr>
          <w:tblHeader w:val="false"/>
        </w:trPr>
        <w:tc>
          <w:tcPr>
            <w:tcW w:type="pct" w:w="9%"/>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Case Anchor</w:t>
            </w:r>
          </w:p>
        </w:tc>
        <w:tc>
          <w:tcPr>
            <w:tcW w:type="pct" w:w="91%"/>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Schneckloth v. Bustamonte</w:t>
            </w:r>
            <w:r>
              <w:rPr>
                <w:rFonts w:ascii="Cambria" w:cs="Cambria" w:eastAsia="Cambria" w:hAnsi="Cambria"/>
                <w:b w:val="false"/>
                <w:bCs w:val="false"/>
                <w:i w:val="false"/>
                <w:iCs w:val="false"/>
                <w:strike w:val="false"/>
                <w:color w:val="000000"/>
                <w:sz w:val="24"/>
                <w:szCs w:val="24"/>
              </w:rPr>
              <w:t xml:space="preserve">, 412 U.S. 218 (1973) (voluntariness standard for consent; totality of the circumstances)</w:t>
            </w:r>
          </w:p>
        </w:tc>
      </w:tr>
    </w:tbl>
    <w:p>
      <w:pPr>
        <w:spacing w:after="200" w:before="0"/>
      </w:pPr>
    </w:p>
    <w:p>
      <w:pPr>
        <w:pStyle w:val="Heading2"/>
        <w:spacing w:after="120" w:before="360" w:line="312" w:lineRule="auto"/>
      </w:pPr>
      <w:r>
        <w:rPr>
          <w:rFonts w:ascii="Cambria" w:cs="Cambria" w:eastAsia="Cambria" w:hAnsi="Cambria"/>
          <w:color w:val="000000"/>
          <w:sz w:val="36"/>
          <w:szCs w:val="36"/>
        </w:rPr>
        <w:t xml:space="preserve">Connector 4: Due Process Transition</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Mechanism</w:t>
            </w:r>
          </w:p>
        </w:tc>
        <w:tc>
          <w:tcPr>
            <w:tcW w:type="pct" w:w="92%"/>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State invokes sovereign power over private interests through constitutionally adequate process—providing notice, an opportunity to be heard, and an impartial decision-maker</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Capacity Shift</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PRI → PUB (private interest subjected to sovereign authority through constitutional process)</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Key Test</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Does the process satisfy </w:t>
            </w:r>
            <w:r>
              <w:rPr>
                <w:rFonts w:ascii="Cambria" w:cs="Cambria" w:eastAsia="Cambria" w:hAnsi="Cambria"/>
                <w:b/>
                <w:bCs/>
                <w:i/>
                <w:iCs/>
                <w:strike w:val="false"/>
                <w:color w:val="000000"/>
                <w:sz w:val="24"/>
                <w:szCs w:val="24"/>
              </w:rPr>
              <w:t xml:space="preserve">Mathews v. Eldridge</w:t>
            </w:r>
            <w:r>
              <w:rPr>
                <w:rFonts w:ascii="Cambria" w:cs="Cambria" w:eastAsia="Cambria" w:hAnsi="Cambria"/>
                <w:b/>
                <w:bCs/>
                <w:i w:val="false"/>
                <w:iCs w:val="false"/>
                <w:strike w:val="false"/>
                <w:color w:val="000000"/>
                <w:sz w:val="24"/>
                <w:szCs w:val="24"/>
              </w:rPr>
              <w:t xml:space="preserve"> balancing</w:t>
            </w:r>
            <w:r>
              <w:rPr>
                <w:rFonts w:ascii="Cambria" w:cs="Cambria" w:eastAsia="Cambria" w:hAnsi="Cambria"/>
                <w:b w:val="false"/>
                <w:bCs w:val="false"/>
                <w:i w:val="false"/>
                <w:iCs w:val="false"/>
                <w:strike w:val="false"/>
                <w:color w:val="000000"/>
                <w:sz w:val="24"/>
                <w:szCs w:val="24"/>
              </w:rPr>
              <w:t xml:space="preserve">? (1) Private interest affected; (2) risk of erroneous deprivation and value of additional safeguards; (3) government’s interest including administrative burden.</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Examples</w:t>
            </w:r>
          </w:p>
        </w:tc>
        <w:tc>
          <w:tcPr>
            <w:tcW w:type="pct" w:w="9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Eminent domain proceedings; regulatory takings; civil forfeiture with judicial process; compulsory process (subpoena); administrative adjudication with hearing rights</w:t>
            </w:r>
          </w:p>
        </w:tc>
      </w:tr>
      <w:tr>
        <w:trPr>
          <w:tblHeader w:val="false"/>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Case Anchor</w:t>
            </w:r>
          </w:p>
        </w:tc>
        <w:tc>
          <w:tcPr>
            <w:tcW w:type="pct" w:w="92%"/>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Mathews v. Eldridge</w:t>
            </w:r>
            <w:r>
              <w:rPr>
                <w:rFonts w:ascii="Cambria" w:cs="Cambria" w:eastAsia="Cambria" w:hAnsi="Cambria"/>
                <w:b w:val="false"/>
                <w:bCs w:val="false"/>
                <w:i w:val="false"/>
                <w:iCs w:val="false"/>
                <w:strike w:val="false"/>
                <w:color w:val="000000"/>
                <w:sz w:val="24"/>
                <w:szCs w:val="24"/>
              </w:rPr>
              <w:t xml:space="preserve">, 424 U.S. 319 (1976) (three-part balancing test for procedural due process)</w:t>
            </w:r>
          </w:p>
        </w:tc>
      </w:tr>
    </w:tbl>
    <w:p>
      <w:pPr>
        <w:spacing w:after="20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CCCCC" w:sz="6"/>
              <w:left w:val="single" w:color="CCCCCC" w:sz="6"/>
              <w:bottom w:val="single" w:color="CCCCCC" w:sz="6"/>
              <w:right w:val="single" w:color="CCCCCC" w:sz="6"/>
            </w:tcBorders>
            <w:shd w:fill="FCE8E8" w:color="auto" w:val="clear"/>
            <w:tcMar>
              <w:top w:type="dxa" w:w="180"/>
              <w:left w:type="dxa" w:w="180"/>
              <w:bottom w:type="dxa" w:w="180"/>
              <w:right w:type="dxa" w:w="180"/>
            </w:tcMar>
          </w:tcPr>
          <w:p>
            <w:pPr>
              <w:spacing w:after="60" w:line="360" w:lineRule="auto"/>
            </w:pPr>
            <w:r>
              <w:rPr>
                <w:rFonts w:ascii="Cambria" w:cs="Cambria" w:eastAsia="Cambria" w:hAnsi="Cambria"/>
                <w:b/>
                <w:bCs/>
                <w:i w:val="false"/>
                <w:iCs w:val="false"/>
                <w:strike w:val="false"/>
                <w:color w:val="000000"/>
                <w:sz w:val="24"/>
                <w:szCs w:val="24"/>
              </w:rPr>
              <w:t xml:space="preserve">DOCTRINAL RULE</w:t>
            </w:r>
          </w:p>
          <w:p>
            <w:pPr>
              <w:spacing w:after="120" w:line="360" w:lineRule="auto"/>
            </w:pPr>
            <w:r>
              <w:rPr>
                <w:rFonts w:ascii="Cambria" w:cs="Cambria" w:eastAsia="Cambria" w:hAnsi="Cambria"/>
                <w:b w:val="false"/>
                <w:bCs w:val="false"/>
                <w:i w:val="false"/>
                <w:iCs w:val="false"/>
                <w:strike w:val="false"/>
                <w:color w:val="000000"/>
                <w:sz w:val="24"/>
                <w:szCs w:val="24"/>
              </w:rPr>
              <w:t xml:space="preserve">ANY TRANSITION BETWEEN PUB AND PRI CAPACITY THAT IS NOT ACCOMPLISHED THROUGH ONE OF THESE FOUR CONNECTORS CONSTITUTES A </w:t>
            </w:r>
            <w:r>
              <w:rPr>
                <w:rFonts w:ascii="Cambria" w:cs="Cambria" w:eastAsia="Cambria" w:hAnsi="Cambria"/>
                <w:b/>
                <w:bCs/>
                <w:i w:val="false"/>
                <w:iCs w:val="false"/>
                <w:strike w:val="false"/>
                <w:color w:val="000000"/>
                <w:sz w:val="24"/>
                <w:szCs w:val="24"/>
              </w:rPr>
              <w:t xml:space="preserve">DOCTRINALLY UNLAWFUL CAPACITY VIOLATION</w:t>
            </w:r>
            <w:r>
              <w:rPr>
                <w:rFonts w:ascii="Cambria" w:cs="Cambria" w:eastAsia="Cambria" w:hAnsi="Cambria"/>
                <w:b w:val="false"/>
                <w:bCs w:val="false"/>
                <w:i w:val="false"/>
                <w:iCs w:val="false"/>
                <w:strike w:val="false"/>
                <w:color w:val="000000"/>
                <w:sz w:val="24"/>
                <w:szCs w:val="24"/>
              </w:rPr>
              <w:t xml:space="preserve">. The state may not shift between sovereign and proprietary postures at will. Each connector imposes substantive requirements, and failure to satisfy those requirements renders the capacity shift void.</w:t>
            </w:r>
          </w:p>
        </w:tc>
      </w:tr>
    </w:tbl>
    <w:p>
      <w:pPr>
        <w:spacing w:after="240" w:before="0"/>
      </w:pPr>
    </w:p>
    <w:p>
      <w:pPr>
        <w:pStyle w:val="Heading1"/>
        <w:spacing w:after="120" w:before="480" w:line="312" w:lineRule="auto"/>
      </w:pPr>
      <w:r>
        <w:rPr>
          <w:rFonts w:ascii="Cambria" w:cs="Cambria" w:eastAsia="Cambria" w:hAnsi="Cambria"/>
          <w:color w:val="000000"/>
          <w:sz w:val="48"/>
          <w:szCs w:val="48"/>
        </w:rPr>
        <w:t xml:space="preserve">Artifact 2: Diagram — Sovereign vs. Proprietary Pathways</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following comparison sets forth the doctrinal attributes of each capacity in parallel. Each attribute illustrates a structural difference between the sovereign and proprietary modes of state action.</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tblGrid>
      <w:tr>
        <w:trPr>
          <w:tblHeader/>
        </w:trPr>
        <w:tc>
          <w:tcPr>
            <w:tcW w:type="pct" w:w="14%"/>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Attribute</w:t>
            </w:r>
          </w:p>
        </w:tc>
        <w:tc>
          <w:tcPr>
            <w:tcW w:type="pct" w:w="40%"/>
            <w:shd w:fill="E0E0E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SOVEREIGN (PUB) PATHWAY</w:t>
            </w:r>
          </w:p>
        </w:tc>
        <w:tc>
          <w:tcPr>
            <w:tcW w:type="pct" w:w="46%"/>
            <w:shd w:fill="E0E0E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PROPRIETARY (PRI) PATHWAY</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Source of Authority</w:t>
            </w:r>
          </w:p>
        </w:tc>
        <w:tc>
          <w:tcPr>
            <w:tcW w:type="pct" w:w="4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Constitutional mandate; police power; sovereign prerogative; legislative enactment</w:t>
            </w:r>
          </w:p>
        </w:tc>
        <w:tc>
          <w:tcPr>
            <w:tcW w:type="pct" w:w="4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Market participation; contractual capacity; voluntary entry into commerce</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Accountability Standard</w:t>
            </w:r>
          </w:p>
        </w:tc>
        <w:tc>
          <w:tcPr>
            <w:tcW w:type="pct" w:w="4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Political accountability (elections, legislative oversight, political process)</w:t>
            </w:r>
          </w:p>
        </w:tc>
        <w:tc>
          <w:tcPr>
            <w:tcW w:type="pct" w:w="4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Market accountability (competition, contract enforcement, tort liability)</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Immunity Default</w:t>
            </w:r>
          </w:p>
        </w:tc>
        <w:tc>
          <w:tcPr>
            <w:tcW w:type="pct" w:w="4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Sovereign immunity presumed; state is immune unless immunity is waived</w:t>
            </w:r>
          </w:p>
        </w:tc>
        <w:tc>
          <w:tcPr>
            <w:tcW w:type="pct" w:w="4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No sovereign immunity; state is treated as a private party</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Liability Trigger</w:t>
            </w:r>
          </w:p>
        </w:tc>
        <w:tc>
          <w:tcPr>
            <w:tcW w:type="pct" w:w="4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Statutory waiver of immunity or constitutional violation (e.g., § 1983)</w:t>
            </w:r>
          </w:p>
        </w:tc>
        <w:tc>
          <w:tcPr>
            <w:tcW w:type="pct" w:w="4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Negligence, breach of contract, tort standards, strict liability where applicable</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Governing Law</w:t>
            </w:r>
          </w:p>
        </w:tc>
        <w:tc>
          <w:tcPr>
            <w:tcW w:type="pct" w:w="4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Public law: constitutional law, administrative law, criminal law</w:t>
            </w:r>
          </w:p>
        </w:tc>
        <w:tc>
          <w:tcPr>
            <w:tcW w:type="pct" w:w="4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Private law: contract, tort, commercial code (UCC), property</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Remedial Framework</w:t>
            </w:r>
          </w:p>
        </w:tc>
        <w:tc>
          <w:tcPr>
            <w:tcW w:type="pct" w:w="4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Injunctive relief, declaratory judgment, mandamus, § 1983 damages</w:t>
            </w:r>
          </w:p>
        </w:tc>
        <w:tc>
          <w:tcPr>
            <w:tcW w:type="pct" w:w="4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Compensatory damages, specific performance, restitution, rescission</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Decision Logic</w:t>
            </w:r>
          </w:p>
        </w:tc>
        <w:tc>
          <w:tcPr>
            <w:tcW w:type="pct" w:w="4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Cost-benefit discretion permitted; discretionary function doctrine shields policy judgments</w:t>
            </w:r>
          </w:p>
        </w:tc>
        <w:tc>
          <w:tcPr>
            <w:tcW w:type="pct" w:w="4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Reasonable person standard; industry standard of care; no discretionary shield</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Consent Requirement</w:t>
            </w:r>
          </w:p>
        </w:tc>
        <w:tc>
          <w:tcPr>
            <w:tcW w:type="pct" w:w="4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Consent of the governed (general, political, majoritarian—not individual)</w:t>
            </w:r>
          </w:p>
        </w:tc>
        <w:tc>
          <w:tcPr>
            <w:tcW w:type="pct" w:w="4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Individual, informed, voluntary consent (specific, transactional)</w:t>
            </w:r>
          </w:p>
        </w:tc>
      </w:tr>
      <w:tr>
        <w:trPr>
          <w:tblHeader w:val="false"/>
        </w:trPr>
        <w:tc>
          <w:tcPr>
            <w:tcW w:type="pct" w:w="14%"/>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Key Cases</w:t>
            </w:r>
          </w:p>
        </w:tc>
        <w:tc>
          <w:tcPr>
            <w:tcW w:type="pct" w:w="40%"/>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Alden v. Maine</w:t>
            </w:r>
            <w:r>
              <w:rPr>
                <w:rFonts w:ascii="Cambria" w:cs="Cambria" w:eastAsia="Cambria" w:hAnsi="Cambria"/>
                <w:b w:val="false"/>
                <w:bCs w:val="false"/>
                <w:i w:val="false"/>
                <w:iCs w:val="false"/>
                <w:strike w:val="false"/>
                <w:color w:val="000000"/>
                <w:sz w:val="24"/>
                <w:szCs w:val="24"/>
              </w:rPr>
              <w:t xml:space="preserve">, 527 U.S. 706 (1999); </w:t>
            </w:r>
            <w:r>
              <w:rPr>
                <w:rFonts w:ascii="Cambria" w:cs="Cambria" w:eastAsia="Cambria" w:hAnsi="Cambria"/>
                <w:b w:val="false"/>
                <w:bCs w:val="false"/>
                <w:i/>
                <w:iCs/>
                <w:strike w:val="false"/>
                <w:color w:val="000000"/>
                <w:sz w:val="24"/>
                <w:szCs w:val="24"/>
              </w:rPr>
              <w:t xml:space="preserve">Ex parte Young</w:t>
            </w:r>
            <w:r>
              <w:rPr>
                <w:rFonts w:ascii="Cambria" w:cs="Cambria" w:eastAsia="Cambria" w:hAnsi="Cambria"/>
                <w:b w:val="false"/>
                <w:bCs w:val="false"/>
                <w:i w:val="false"/>
                <w:iCs w:val="false"/>
                <w:strike w:val="false"/>
                <w:color w:val="000000"/>
                <w:sz w:val="24"/>
                <w:szCs w:val="24"/>
              </w:rPr>
              <w:t xml:space="preserve">, 209 U.S. 123 (1908); </w:t>
            </w:r>
            <w:r>
              <w:rPr>
                <w:rFonts w:ascii="Cambria" w:cs="Cambria" w:eastAsia="Cambria" w:hAnsi="Cambria"/>
                <w:b w:val="false"/>
                <w:bCs w:val="false"/>
                <w:i/>
                <w:iCs/>
                <w:strike w:val="false"/>
                <w:color w:val="000000"/>
                <w:sz w:val="24"/>
                <w:szCs w:val="24"/>
              </w:rPr>
              <w:t xml:space="preserve">Seminole Tribe of Fla. v. Florida</w:t>
            </w:r>
            <w:r>
              <w:rPr>
                <w:rFonts w:ascii="Cambria" w:cs="Cambria" w:eastAsia="Cambria" w:hAnsi="Cambria"/>
                <w:b w:val="false"/>
                <w:bCs w:val="false"/>
                <w:i w:val="false"/>
                <w:iCs w:val="false"/>
                <w:strike w:val="false"/>
                <w:color w:val="000000"/>
                <w:sz w:val="24"/>
                <w:szCs w:val="24"/>
              </w:rPr>
              <w:t xml:space="preserve">, 517 U.S. 44 (1996)</w:t>
            </w:r>
          </w:p>
        </w:tc>
        <w:tc>
          <w:tcPr>
            <w:tcW w:type="pct" w:w="46%"/>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Reeves, Inc. v. Stake</w:t>
            </w:r>
            <w:r>
              <w:rPr>
                <w:rFonts w:ascii="Cambria" w:cs="Cambria" w:eastAsia="Cambria" w:hAnsi="Cambria"/>
                <w:b w:val="false"/>
                <w:bCs w:val="false"/>
                <w:i w:val="false"/>
                <w:iCs w:val="false"/>
                <w:strike w:val="false"/>
                <w:color w:val="000000"/>
                <w:sz w:val="24"/>
                <w:szCs w:val="24"/>
              </w:rPr>
              <w:t xml:space="preserve">, 447 U.S. 429 (1980); </w:t>
            </w:r>
            <w:r>
              <w:rPr>
                <w:rFonts w:ascii="Cambria" w:cs="Cambria" w:eastAsia="Cambria" w:hAnsi="Cambria"/>
                <w:b w:val="false"/>
                <w:bCs w:val="false"/>
                <w:i/>
                <w:iCs/>
                <w:strike w:val="false"/>
                <w:color w:val="000000"/>
                <w:sz w:val="24"/>
                <w:szCs w:val="24"/>
              </w:rPr>
              <w:t xml:space="preserve">Owen v. City of Independence</w:t>
            </w:r>
            <w:r>
              <w:rPr>
                <w:rFonts w:ascii="Cambria" w:cs="Cambria" w:eastAsia="Cambria" w:hAnsi="Cambria"/>
                <w:b w:val="false"/>
                <w:bCs w:val="false"/>
                <w:i w:val="false"/>
                <w:iCs w:val="false"/>
                <w:strike w:val="false"/>
                <w:color w:val="000000"/>
                <w:sz w:val="24"/>
                <w:szCs w:val="24"/>
              </w:rPr>
              <w:t xml:space="preserve">, 445 U.S. 622 (1980); </w:t>
            </w:r>
            <w:r>
              <w:rPr>
                <w:rFonts w:ascii="Cambria" w:cs="Cambria" w:eastAsia="Cambria" w:hAnsi="Cambria"/>
                <w:b w:val="false"/>
                <w:bCs w:val="false"/>
                <w:i/>
                <w:iCs/>
                <w:strike w:val="false"/>
                <w:color w:val="000000"/>
                <w:sz w:val="24"/>
                <w:szCs w:val="24"/>
              </w:rPr>
              <w:t xml:space="preserve">Indian Towing Co. v. United States</w:t>
            </w:r>
            <w:r>
              <w:rPr>
                <w:rFonts w:ascii="Cambria" w:cs="Cambria" w:eastAsia="Cambria" w:hAnsi="Cambria"/>
                <w:b w:val="false"/>
                <w:bCs w:val="false"/>
                <w:i w:val="false"/>
                <w:iCs w:val="false"/>
                <w:strike w:val="false"/>
                <w:color w:val="000000"/>
                <w:sz w:val="24"/>
                <w:szCs w:val="24"/>
              </w:rPr>
              <w:t xml:space="preserve">, 350 U.S. 61 (1955)</w:t>
            </w:r>
          </w:p>
        </w:tc>
      </w:tr>
    </w:tbl>
    <w:p>
      <w:pPr>
        <w:spacing w:after="200" w:before="0"/>
      </w:pPr>
    </w:p>
    <w:p>
      <w:pPr>
        <w:pStyle w:val="Heading2"/>
        <w:spacing w:after="120" w:before="360" w:line="312" w:lineRule="auto"/>
      </w:pPr>
      <w:r>
        <w:rPr>
          <w:rFonts w:ascii="Cambria" w:cs="Cambria" w:eastAsia="Cambria" w:hAnsi="Cambria"/>
          <w:color w:val="000000"/>
          <w:sz w:val="36"/>
          <w:szCs w:val="36"/>
        </w:rPr>
        <w:t xml:space="preserve">Critical Intersection: The PUB/PRI Contradiction</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doctrinal crisis occurs when the state occupies </w:t>
      </w:r>
      <w:r>
        <w:rPr>
          <w:rFonts w:ascii="Cambria" w:cs="Cambria" w:eastAsia="Cambria" w:hAnsi="Cambria"/>
          <w:b/>
          <w:bCs/>
          <w:i w:val="false"/>
          <w:iCs w:val="false"/>
          <w:strike w:val="false"/>
          <w:color w:val="000000"/>
          <w:sz w:val="24"/>
          <w:szCs w:val="24"/>
        </w:rPr>
        <w:t xml:space="preserve">both capacities simultaneously</w:t>
      </w:r>
      <w:r>
        <w:rPr>
          <w:rFonts w:ascii="Cambria" w:cs="Cambria" w:eastAsia="Cambria" w:hAnsi="Cambria"/>
          <w:b w:val="false"/>
          <w:bCs w:val="false"/>
          <w:i w:val="false"/>
          <w:iCs w:val="false"/>
          <w:strike w:val="false"/>
          <w:color w:val="000000"/>
          <w:sz w:val="24"/>
          <w:szCs w:val="24"/>
        </w:rPr>
        <w:t xml:space="preserve">—exercising sovereign coercion while claiming proprietary flexibility, or claiming sovereign immunity while operating as a market participant. This is the </w:t>
      </w:r>
      <w:r>
        <w:rPr>
          <w:rFonts w:ascii="Cambria" w:cs="Cambria" w:eastAsia="Cambria" w:hAnsi="Cambria"/>
          <w:b/>
          <w:bCs/>
          <w:i w:val="false"/>
          <w:iCs w:val="false"/>
          <w:strike w:val="false"/>
          <w:color w:val="000000"/>
          <w:sz w:val="24"/>
          <w:szCs w:val="24"/>
        </w:rPr>
        <w:t xml:space="preserve">PUB/PRI contradiction</w:t>
      </w:r>
      <w:r>
        <w:rPr>
          <w:rFonts w:ascii="Cambria" w:cs="Cambria" w:eastAsia="Cambria" w:hAnsi="Cambria"/>
          <w:b w:val="false"/>
          <w:bCs w:val="false"/>
          <w:i w:val="false"/>
          <w:iCs w:val="false"/>
          <w:strike w:val="false"/>
          <w:color w:val="000000"/>
          <w:sz w:val="24"/>
          <w:szCs w:val="24"/>
        </w:rPr>
        <w:t xml:space="preserve">.</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contradiction arises in two mirror-image forms:</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Sovereign Shield in a Proprietary Context.</w:t>
      </w:r>
      <w:r>
        <w:rPr>
          <w:rFonts w:ascii="Cambria" w:cs="Cambria" w:eastAsia="Cambria" w:hAnsi="Cambria"/>
          <w:b w:val="false"/>
          <w:bCs w:val="false"/>
          <w:i w:val="false"/>
          <w:iCs w:val="false"/>
          <w:strike w:val="false"/>
          <w:color w:val="000000"/>
          <w:sz w:val="24"/>
          <w:szCs w:val="24"/>
        </w:rPr>
        <w:t xml:space="preserve"> The state enters the marketplace—earning revenue, competing with private actors, performing functions indistinguishable from commercial enterprise—but invokes sovereign immunity when its market conduct causes injury. The state claims the </w:t>
      </w:r>
      <w:r>
        <w:rPr>
          <w:rFonts w:ascii="Cambria" w:cs="Cambria" w:eastAsia="Cambria" w:hAnsi="Cambria"/>
          <w:b w:val="false"/>
          <w:bCs w:val="false"/>
          <w:i/>
          <w:iCs/>
          <w:strike w:val="false"/>
          <w:color w:val="000000"/>
          <w:sz w:val="24"/>
          <w:szCs w:val="24"/>
        </w:rPr>
        <w:t xml:space="preserve">benefits</w:t>
      </w:r>
      <w:r>
        <w:rPr>
          <w:rFonts w:ascii="Cambria" w:cs="Cambria" w:eastAsia="Cambria" w:hAnsi="Cambria"/>
          <w:b w:val="false"/>
          <w:bCs w:val="false"/>
          <w:i w:val="false"/>
          <w:iCs w:val="false"/>
          <w:strike w:val="false"/>
          <w:color w:val="000000"/>
          <w:sz w:val="24"/>
          <w:szCs w:val="24"/>
        </w:rPr>
        <w:t xml:space="preserve"> of proprietary capacity (market revenue, contractual flexibility) while retaining the </w:t>
      </w:r>
      <w:r>
        <w:rPr>
          <w:rFonts w:ascii="Cambria" w:cs="Cambria" w:eastAsia="Cambria" w:hAnsi="Cambria"/>
          <w:b w:val="false"/>
          <w:bCs w:val="false"/>
          <w:i/>
          <w:iCs/>
          <w:strike w:val="false"/>
          <w:color w:val="000000"/>
          <w:sz w:val="24"/>
          <w:szCs w:val="24"/>
        </w:rPr>
        <w:t xml:space="preserve">protections</w:t>
      </w:r>
      <w:r>
        <w:rPr>
          <w:rFonts w:ascii="Cambria" w:cs="Cambria" w:eastAsia="Cambria" w:hAnsi="Cambria"/>
          <w:b w:val="false"/>
          <w:bCs w:val="false"/>
          <w:i w:val="false"/>
          <w:iCs w:val="false"/>
          <w:strike w:val="false"/>
          <w:color w:val="000000"/>
          <w:sz w:val="24"/>
          <w:szCs w:val="24"/>
        </w:rPr>
        <w:t xml:space="preserve"> of sovereign capacity (immunity, discretionary function defense). This is doctrinally impermissible because the state cannot extract the advantages of private-law participation while refusing its obligations.</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Sovereign Coercion in a Proprietary Form.</w:t>
      </w:r>
      <w:r>
        <w:rPr>
          <w:rFonts w:ascii="Cambria" w:cs="Cambria" w:eastAsia="Cambria" w:hAnsi="Cambria"/>
          <w:b w:val="false"/>
          <w:bCs w:val="false"/>
          <w:i w:val="false"/>
          <w:iCs w:val="false"/>
          <w:strike w:val="false"/>
          <w:color w:val="000000"/>
          <w:sz w:val="24"/>
          <w:szCs w:val="24"/>
        </w:rPr>
        <w:t xml:space="preserve"> The state exercises coercive sovereign authority—compelling submission, extracting compliance, depriving interests—but structures the interaction as a “voluntary” contract, license agreement, or market transaction. The state claims the </w:t>
      </w:r>
      <w:r>
        <w:rPr>
          <w:rFonts w:ascii="Cambria" w:cs="Cambria" w:eastAsia="Cambria" w:hAnsi="Cambria"/>
          <w:b w:val="false"/>
          <w:bCs w:val="false"/>
          <w:i/>
          <w:iCs/>
          <w:strike w:val="false"/>
          <w:color w:val="000000"/>
          <w:sz w:val="24"/>
          <w:szCs w:val="24"/>
        </w:rPr>
        <w:t xml:space="preserve">form</w:t>
      </w:r>
      <w:r>
        <w:rPr>
          <w:rFonts w:ascii="Cambria" w:cs="Cambria" w:eastAsia="Cambria" w:hAnsi="Cambria"/>
          <w:b w:val="false"/>
          <w:bCs w:val="false"/>
          <w:i w:val="false"/>
          <w:iCs w:val="false"/>
          <w:strike w:val="false"/>
          <w:color w:val="000000"/>
          <w:sz w:val="24"/>
          <w:szCs w:val="24"/>
        </w:rPr>
        <w:t xml:space="preserve"> of proprietary capacity (contract, consent) while exercising the </w:t>
      </w:r>
      <w:r>
        <w:rPr>
          <w:rFonts w:ascii="Cambria" w:cs="Cambria" w:eastAsia="Cambria" w:hAnsi="Cambria"/>
          <w:b w:val="false"/>
          <w:bCs w:val="false"/>
          <w:i/>
          <w:iCs/>
          <w:strike w:val="false"/>
          <w:color w:val="000000"/>
          <w:sz w:val="24"/>
          <w:szCs w:val="24"/>
        </w:rPr>
        <w:t xml:space="preserve">substance</w:t>
      </w:r>
      <w:r>
        <w:rPr>
          <w:rFonts w:ascii="Cambria" w:cs="Cambria" w:eastAsia="Cambria" w:hAnsi="Cambria"/>
          <w:b w:val="false"/>
          <w:bCs w:val="false"/>
          <w:i w:val="false"/>
          <w:iCs w:val="false"/>
          <w:strike w:val="false"/>
          <w:color w:val="000000"/>
          <w:sz w:val="24"/>
          <w:szCs w:val="24"/>
        </w:rPr>
        <w:t xml:space="preserve"> of sovereign capacity (compulsion, monopoly power). This is doctrinally impermissible because consent obtained under sovereign compulsion is not voluntary, and a “contract” formed under regulatory monopoly is not a market transaction.</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Both forms of the contradiction violate the foundational premise that PUB and PRI are </w:t>
      </w:r>
      <w:r>
        <w:rPr>
          <w:rFonts w:ascii="Cambria" w:cs="Cambria" w:eastAsia="Cambria" w:hAnsi="Cambria"/>
          <w:b/>
          <w:bCs/>
          <w:i w:val="false"/>
          <w:iCs w:val="false"/>
          <w:strike w:val="false"/>
          <w:color w:val="000000"/>
          <w:sz w:val="24"/>
          <w:szCs w:val="24"/>
        </w:rPr>
        <w:t xml:space="preserve">mutually exclusive capacities</w:t>
      </w:r>
      <w:r>
        <w:rPr>
          <w:rFonts w:ascii="Cambria" w:cs="Cambria" w:eastAsia="Cambria" w:hAnsi="Cambria"/>
          <w:b w:val="false"/>
          <w:bCs w:val="false"/>
          <w:i w:val="false"/>
          <w:iCs w:val="false"/>
          <w:strike w:val="false"/>
          <w:color w:val="000000"/>
          <w:sz w:val="24"/>
          <w:szCs w:val="24"/>
        </w:rPr>
        <w:t xml:space="preserve">, each carrying distinct obligations. The four lawful connectors exist precisely to prevent this conflation: they require the state to make a clean transition, accepting the full obligations of whichever capacity it enters.</w:t>
      </w:r>
    </w:p>
    <w:p>
      <w:pPr>
        <w:pStyle w:val="Heading1"/>
        <w:spacing w:after="120" w:before="480" w:line="312" w:lineRule="auto"/>
      </w:pPr>
      <w:r>
        <w:rPr>
          <w:rFonts w:ascii="Cambria" w:cs="Cambria" w:eastAsia="Cambria" w:hAnsi="Cambria"/>
          <w:color w:val="000000"/>
          <w:sz w:val="48"/>
          <w:szCs w:val="48"/>
        </w:rPr>
        <w:t xml:space="preserve">Artifact 3: PUB/PRI Contradiction Matrix</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following matrix identifies six recurring contradictions that arise when the state conflates or misapplies PUB and PRI capacities. Each row specifies the state’s claimed capacity, the operational reality, the doctrinal violation, and the litigation hook for challenging the contradiction.</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gridCol w:w="100"/>
      </w:tblGrid>
      <w:tr>
        <w:trPr>
          <w:tblHeader/>
        </w:trPr>
        <w:tc>
          <w:tcPr>
            <w:tcW w:type="pct" w:w="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w:t>
            </w:r>
          </w:p>
        </w:tc>
        <w:tc>
          <w:tcPr>
            <w:tcW w:type="pct" w:w="11%"/>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Contradiction</w:t>
            </w:r>
          </w:p>
        </w:tc>
        <w:tc>
          <w:tcPr>
            <w:tcW w:type="pct" w:w="17%"/>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PUB Claim</w:t>
            </w:r>
          </w:p>
        </w:tc>
        <w:tc>
          <w:tcPr>
            <w:tcW w:type="pct" w:w="19%"/>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PRI Reality</w:t>
            </w:r>
          </w:p>
        </w:tc>
        <w:tc>
          <w:tcPr>
            <w:tcW w:type="pct" w:w="22%"/>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Doctrinal Violation</w:t>
            </w:r>
          </w:p>
        </w:tc>
        <w:tc>
          <w:tcPr>
            <w:tcW w:type="pct" w:w="23%"/>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Litigation Hook</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1</w:t>
            </w:r>
          </w:p>
        </w:tc>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Immunity Shield + Market Profit</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State claims sovereign immunity to bar tort or contract claims</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State earns revenue from proprietary activity indistinguishable from private enterprise</w:t>
            </w:r>
          </w:p>
        </w:tc>
        <w:tc>
          <w:tcPr>
            <w:tcW w:type="pct" w:w="2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Violates market-participant doctrine. </w:t>
            </w:r>
            <w:r>
              <w:rPr>
                <w:rFonts w:ascii="Cambria" w:cs="Cambria" w:eastAsia="Cambria" w:hAnsi="Cambria"/>
                <w:b w:val="false"/>
                <w:bCs w:val="false"/>
                <w:i/>
                <w:iCs/>
                <w:strike w:val="false"/>
                <w:color w:val="000000"/>
                <w:sz w:val="24"/>
                <w:szCs w:val="24"/>
              </w:rPr>
              <w:t xml:space="preserve">Reeves, Inc. v. Stake</w:t>
            </w:r>
            <w:r>
              <w:rPr>
                <w:rFonts w:ascii="Cambria" w:cs="Cambria" w:eastAsia="Cambria" w:hAnsi="Cambria"/>
                <w:b w:val="false"/>
                <w:bCs w:val="false"/>
                <w:i w:val="false"/>
                <w:iCs w:val="false"/>
                <w:strike w:val="false"/>
                <w:color w:val="000000"/>
                <w:sz w:val="24"/>
                <w:szCs w:val="24"/>
              </w:rPr>
              <w:t xml:space="preserve">, 447 U.S. 429 (1980); </w:t>
            </w:r>
            <w:r>
              <w:rPr>
                <w:rFonts w:ascii="Cambria" w:cs="Cambria" w:eastAsia="Cambria" w:hAnsi="Cambria"/>
                <w:b w:val="false"/>
                <w:bCs w:val="false"/>
                <w:i/>
                <w:iCs/>
                <w:strike w:val="false"/>
                <w:color w:val="000000"/>
                <w:sz w:val="24"/>
                <w:szCs w:val="24"/>
              </w:rPr>
              <w:t xml:space="preserve">Owen v. City of Independence</w:t>
            </w:r>
            <w:r>
              <w:rPr>
                <w:rFonts w:ascii="Cambria" w:cs="Cambria" w:eastAsia="Cambria" w:hAnsi="Cambria"/>
                <w:b w:val="false"/>
                <w:bCs w:val="false"/>
                <w:i w:val="false"/>
                <w:iCs w:val="false"/>
                <w:strike w:val="false"/>
                <w:color w:val="000000"/>
                <w:sz w:val="24"/>
                <w:szCs w:val="24"/>
              </w:rPr>
              <w:t xml:space="preserve">, 445 U.S. 622 (1980)</w:t>
            </w:r>
          </w:p>
        </w:tc>
        <w:tc>
          <w:tcPr>
            <w:tcW w:type="pct" w:w="2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state cannot simultaneously profit as a private market actor and hide behind sovereign immunity. Entry into the market is a waiver of the sovereign shield for that activity.”</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2</w:t>
            </w:r>
          </w:p>
        </w:tc>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Coercive Power + Contract Form</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State uses sovereign coercion: licensing monopoly, regulatory mandate, or legal compulsion</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State structures the coercive interaction as a “voluntary contract,” license agreement, or terms-of-service acceptance</w:t>
            </w:r>
          </w:p>
        </w:tc>
        <w:tc>
          <w:tcPr>
            <w:tcW w:type="pct" w:w="2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Violates informed consent doctrine. </w:t>
            </w:r>
            <w:r>
              <w:rPr>
                <w:rFonts w:ascii="Cambria" w:cs="Cambria" w:eastAsia="Cambria" w:hAnsi="Cambria"/>
                <w:b w:val="false"/>
                <w:bCs w:val="false"/>
                <w:i/>
                <w:iCs/>
                <w:strike w:val="false"/>
                <w:color w:val="000000"/>
                <w:sz w:val="24"/>
                <w:szCs w:val="24"/>
              </w:rPr>
              <w:t xml:space="preserve">Schneckloth v. Bustamonte</w:t>
            </w:r>
            <w:r>
              <w:rPr>
                <w:rFonts w:ascii="Cambria" w:cs="Cambria" w:eastAsia="Cambria" w:hAnsi="Cambria"/>
                <w:b w:val="false"/>
                <w:bCs w:val="false"/>
                <w:i w:val="false"/>
                <w:iCs w:val="false"/>
                <w:strike w:val="false"/>
                <w:color w:val="000000"/>
                <w:sz w:val="24"/>
                <w:szCs w:val="24"/>
              </w:rPr>
              <w:t xml:space="preserve">, 412 U.S. 218 (1973); unconstitutional conditions doctrine, </w:t>
            </w:r>
            <w:r>
              <w:rPr>
                <w:rFonts w:ascii="Cambria" w:cs="Cambria" w:eastAsia="Cambria" w:hAnsi="Cambria"/>
                <w:b w:val="false"/>
                <w:bCs w:val="false"/>
                <w:i/>
                <w:iCs/>
                <w:strike w:val="false"/>
                <w:color w:val="000000"/>
                <w:sz w:val="24"/>
                <w:szCs w:val="24"/>
              </w:rPr>
              <w:t xml:space="preserve">Koontz v. St. Johns River Water Mgmt. Dist.</w:t>
            </w:r>
            <w:r>
              <w:rPr>
                <w:rFonts w:ascii="Cambria" w:cs="Cambria" w:eastAsia="Cambria" w:hAnsi="Cambria"/>
                <w:b w:val="false"/>
                <w:bCs w:val="false"/>
                <w:i w:val="false"/>
                <w:iCs w:val="false"/>
                <w:strike w:val="false"/>
                <w:color w:val="000000"/>
                <w:sz w:val="24"/>
                <w:szCs w:val="24"/>
              </w:rPr>
              <w:t xml:space="preserve">, 570 U.S. 595 (2013)</w:t>
            </w:r>
          </w:p>
        </w:tc>
        <w:tc>
          <w:tcPr>
            <w:tcW w:type="pct" w:w="2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 contract formed under state monopoly power is not a voluntary market transaction. Where the state is the sole issuer of a required license, ‘consent’ to its terms is coerced, not voluntary.”</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3</w:t>
            </w:r>
          </w:p>
        </w:tc>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Discretionary Shield + Ministerial Failure</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State claims discretionary function immunity, asserting that the challenged action involved a policy judgment</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failure is operational and ministerial—a negligent act in the delivery of a proprietary service (e.g., utility maintenance, facility operation)</w:t>
            </w:r>
          </w:p>
        </w:tc>
        <w:tc>
          <w:tcPr>
            <w:tcW w:type="pct" w:w="2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Violates the governmental-proprietary distinction as applied in the discretionary function context. </w:t>
            </w:r>
            <w:r>
              <w:rPr>
                <w:rFonts w:ascii="Cambria" w:cs="Cambria" w:eastAsia="Cambria" w:hAnsi="Cambria"/>
                <w:b w:val="false"/>
                <w:bCs w:val="false"/>
                <w:i/>
                <w:iCs/>
                <w:strike w:val="false"/>
                <w:color w:val="000000"/>
                <w:sz w:val="24"/>
                <w:szCs w:val="24"/>
              </w:rPr>
              <w:t xml:space="preserve">Indian Towing Co. v. United States</w:t>
            </w:r>
            <w:r>
              <w:rPr>
                <w:rFonts w:ascii="Cambria" w:cs="Cambria" w:eastAsia="Cambria" w:hAnsi="Cambria"/>
                <w:b w:val="false"/>
                <w:bCs w:val="false"/>
                <w:i w:val="false"/>
                <w:iCs w:val="false"/>
                <w:strike w:val="false"/>
                <w:color w:val="000000"/>
                <w:sz w:val="24"/>
                <w:szCs w:val="24"/>
              </w:rPr>
              <w:t xml:space="preserve">, 350 U.S. 61 (1955); </w:t>
            </w:r>
            <w:r>
              <w:rPr>
                <w:rFonts w:ascii="Cambria" w:cs="Cambria" w:eastAsia="Cambria" w:hAnsi="Cambria"/>
                <w:b w:val="false"/>
                <w:bCs w:val="false"/>
                <w:i/>
                <w:iCs/>
                <w:strike w:val="false"/>
                <w:color w:val="000000"/>
                <w:sz w:val="24"/>
                <w:szCs w:val="24"/>
              </w:rPr>
              <w:t xml:space="preserve">Berkovitz v. United States</w:t>
            </w:r>
            <w:r>
              <w:rPr>
                <w:rFonts w:ascii="Cambria" w:cs="Cambria" w:eastAsia="Cambria" w:hAnsi="Cambria"/>
                <w:b w:val="false"/>
                <w:bCs w:val="false"/>
                <w:i w:val="false"/>
                <w:iCs w:val="false"/>
                <w:strike w:val="false"/>
                <w:color w:val="000000"/>
                <w:sz w:val="24"/>
                <w:szCs w:val="24"/>
              </w:rPr>
              <w:t xml:space="preserve">, 486 U.S. 531 (1988)</w:t>
            </w:r>
          </w:p>
        </w:tc>
        <w:tc>
          <w:tcPr>
            <w:tcW w:type="pct" w:w="2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“Discretionary immunity applies to policy judgments, not to operational negligence in proprietary functions. Once the state undertakes a proprietary function, it must perform it with the care of a private operator.”</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4</w:t>
            </w:r>
          </w:p>
        </w:tc>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General Welfare Claim + Selective Benefit</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State invokes police power or general welfare rationale to justify the action as sovereign</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action primarily benefits a private party or narrow class, functioning as a proprietary wealth transfer rather than a public-purpose exercise of sovereign power</w:t>
            </w:r>
          </w:p>
        </w:tc>
        <w:tc>
          <w:tcPr>
            <w:tcW w:type="pct" w:w="2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Violates public purpose doctrine. </w:t>
            </w:r>
            <w:r>
              <w:rPr>
                <w:rFonts w:ascii="Cambria" w:cs="Cambria" w:eastAsia="Cambria" w:hAnsi="Cambria"/>
                <w:b w:val="false"/>
                <w:bCs w:val="false"/>
                <w:i/>
                <w:iCs/>
                <w:strike w:val="false"/>
                <w:color w:val="000000"/>
                <w:sz w:val="24"/>
                <w:szCs w:val="24"/>
              </w:rPr>
              <w:t xml:space="preserve">Kelo v. City of New London</w:t>
            </w:r>
            <w:r>
              <w:rPr>
                <w:rFonts w:ascii="Cambria" w:cs="Cambria" w:eastAsia="Cambria" w:hAnsi="Cambria"/>
                <w:b w:val="false"/>
                <w:bCs w:val="false"/>
                <w:i w:val="false"/>
                <w:iCs w:val="false"/>
                <w:strike w:val="false"/>
                <w:color w:val="000000"/>
                <w:sz w:val="24"/>
                <w:szCs w:val="24"/>
              </w:rPr>
              <w:t xml:space="preserve">, 545 U.S. 469 (2005) (Kennedy, J., concurring); state constitutional public-purpose requirements</w:t>
            </w:r>
          </w:p>
        </w:tc>
        <w:tc>
          <w:tcPr>
            <w:tcW w:type="pct" w:w="2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“An action that benefits a private party under the banner of sovereign authority is a capacity fraud. The sovereign label does not immunize what is functionally a proprietary transfer.”</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5</w:t>
            </w:r>
          </w:p>
        </w:tc>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Due Process Bypass + Administrative Efficiency</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State characterizes a deprivation of liberty or property as a routine administrative or proprietary matter not requiring formal process</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action is substantively a sovereign deprivation—termination of benefits, seizure of property, revocation of a license—requiring constitutional process</w:t>
            </w:r>
          </w:p>
        </w:tc>
        <w:tc>
          <w:tcPr>
            <w:tcW w:type="pct" w:w="2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Violates </w:t>
            </w:r>
            <w:r>
              <w:rPr>
                <w:rFonts w:ascii="Cambria" w:cs="Cambria" w:eastAsia="Cambria" w:hAnsi="Cambria"/>
                <w:b w:val="false"/>
                <w:bCs w:val="false"/>
                <w:i/>
                <w:iCs/>
                <w:strike w:val="false"/>
                <w:color w:val="000000"/>
                <w:sz w:val="24"/>
                <w:szCs w:val="24"/>
              </w:rPr>
              <w:t xml:space="preserve">Mathews v. Eldridge</w:t>
            </w:r>
            <w:r>
              <w:rPr>
                <w:rFonts w:ascii="Cambria" w:cs="Cambria" w:eastAsia="Cambria" w:hAnsi="Cambria"/>
                <w:b w:val="false"/>
                <w:bCs w:val="false"/>
                <w:i w:val="false"/>
                <w:iCs w:val="false"/>
                <w:strike w:val="false"/>
                <w:color w:val="000000"/>
                <w:sz w:val="24"/>
                <w:szCs w:val="24"/>
              </w:rPr>
              <w:t xml:space="preserve">, 424 U.S. 319 (1976); </w:t>
            </w:r>
            <w:r>
              <w:rPr>
                <w:rFonts w:ascii="Cambria" w:cs="Cambria" w:eastAsia="Cambria" w:hAnsi="Cambria"/>
                <w:b w:val="false"/>
                <w:bCs w:val="false"/>
                <w:i/>
                <w:iCs/>
                <w:strike w:val="false"/>
                <w:color w:val="000000"/>
                <w:sz w:val="24"/>
                <w:szCs w:val="24"/>
              </w:rPr>
              <w:t xml:space="preserve">Goldberg v. Kelly</w:t>
            </w:r>
            <w:r>
              <w:rPr>
                <w:rFonts w:ascii="Cambria" w:cs="Cambria" w:eastAsia="Cambria" w:hAnsi="Cambria"/>
                <w:b w:val="false"/>
                <w:bCs w:val="false"/>
                <w:i w:val="false"/>
                <w:iCs w:val="false"/>
                <w:strike w:val="false"/>
                <w:color w:val="000000"/>
                <w:sz w:val="24"/>
                <w:szCs w:val="24"/>
              </w:rPr>
              <w:t xml:space="preserve">, 397 U.S. 254 (1970); </w:t>
            </w:r>
            <w:r>
              <w:rPr>
                <w:rFonts w:ascii="Cambria" w:cs="Cambria" w:eastAsia="Cambria" w:hAnsi="Cambria"/>
                <w:b w:val="false"/>
                <w:bCs w:val="false"/>
                <w:i/>
                <w:iCs/>
                <w:strike w:val="false"/>
                <w:color w:val="000000"/>
                <w:sz w:val="24"/>
                <w:szCs w:val="24"/>
              </w:rPr>
              <w:t xml:space="preserve">Cleveland Bd. of Educ. v. Loudermill</w:t>
            </w:r>
            <w:r>
              <w:rPr>
                <w:rFonts w:ascii="Cambria" w:cs="Cambria" w:eastAsia="Cambria" w:hAnsi="Cambria"/>
                <w:b w:val="false"/>
                <w:bCs w:val="false"/>
                <w:i w:val="false"/>
                <w:iCs w:val="false"/>
                <w:strike w:val="false"/>
                <w:color w:val="000000"/>
                <w:sz w:val="24"/>
                <w:szCs w:val="24"/>
              </w:rPr>
              <w:t xml:space="preserve">, 470 U.S. 532 (1985)</w:t>
            </w:r>
          </w:p>
        </w:tc>
        <w:tc>
          <w:tcPr>
            <w:tcW w:type="pct" w:w="2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“Relabeling a sovereign deprivation as an administrative convenience does not eliminate the due process obligation. The nature of the interest—not the label the state assigns—determines the process that is due.”</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6</w:t>
            </w:r>
          </w:p>
        </w:tc>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Regulatory Authority + Proprietary Interest</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State exercises regulatory authority over an industry or market—setting rules, issuing licenses, enforcing compliance</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State simultaneously participates in the same market as a proprietor—competing with the entities it regulates</w:t>
            </w:r>
          </w:p>
        </w:tc>
        <w:tc>
          <w:tcPr>
            <w:tcW w:type="pct" w:w="2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Violates structural conflict-of-interest principles; due process (impartial decision-maker requirement); </w:t>
            </w:r>
            <w:r>
              <w:rPr>
                <w:rFonts w:ascii="Cambria" w:cs="Cambria" w:eastAsia="Cambria" w:hAnsi="Cambria"/>
                <w:b w:val="false"/>
                <w:bCs w:val="false"/>
                <w:i/>
                <w:iCs/>
                <w:strike w:val="false"/>
                <w:color w:val="000000"/>
                <w:sz w:val="24"/>
                <w:szCs w:val="24"/>
              </w:rPr>
              <w:t xml:space="preserve">Tumey v. Ohio</w:t>
            </w:r>
            <w:r>
              <w:rPr>
                <w:rFonts w:ascii="Cambria" w:cs="Cambria" w:eastAsia="Cambria" w:hAnsi="Cambria"/>
                <w:b w:val="false"/>
                <w:bCs w:val="false"/>
                <w:i w:val="false"/>
                <w:iCs w:val="false"/>
                <w:strike w:val="false"/>
                <w:color w:val="000000"/>
                <w:sz w:val="24"/>
                <w:szCs w:val="24"/>
              </w:rPr>
              <w:t xml:space="preserve">, 273 U.S. 510 (1927); </w:t>
            </w:r>
            <w:r>
              <w:rPr>
                <w:rFonts w:ascii="Cambria" w:cs="Cambria" w:eastAsia="Cambria" w:hAnsi="Cambria"/>
                <w:b w:val="false"/>
                <w:bCs w:val="false"/>
                <w:i/>
                <w:iCs/>
                <w:strike w:val="false"/>
                <w:color w:val="000000"/>
                <w:sz w:val="24"/>
                <w:szCs w:val="24"/>
              </w:rPr>
              <w:t xml:space="preserve">Caperton v. A.T. Massey Coal Co.</w:t>
            </w:r>
            <w:r>
              <w:rPr>
                <w:rFonts w:ascii="Cambria" w:cs="Cambria" w:eastAsia="Cambria" w:hAnsi="Cambria"/>
                <w:b w:val="false"/>
                <w:bCs w:val="false"/>
                <w:i w:val="false"/>
                <w:iCs w:val="false"/>
                <w:strike w:val="false"/>
                <w:color w:val="000000"/>
                <w:sz w:val="24"/>
                <w:szCs w:val="24"/>
              </w:rPr>
              <w:t xml:space="preserve">, 556 U.S. 868 (2009)</w:t>
            </w:r>
          </w:p>
        </w:tc>
        <w:tc>
          <w:tcPr>
            <w:tcW w:type="pct" w:w="2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“The state cannot be both referee and player in the same market. Regulatory authority over competitors while simultaneously competing for market share is a structural due process violation.”</w:t>
            </w:r>
          </w:p>
        </w:tc>
      </w:tr>
    </w:tbl>
    <w:p>
      <w:pPr>
        <w:spacing w:after="200" w:before="0"/>
      </w:pPr>
    </w:p>
    <w:p>
      <w:pPr>
        <w:pStyle w:val="Heading1"/>
        <w:spacing w:after="120" w:before="480" w:line="312" w:lineRule="auto"/>
      </w:pPr>
      <w:r>
        <w:rPr>
          <w:rFonts w:ascii="Cambria" w:cs="Cambria" w:eastAsia="Cambria" w:hAnsi="Cambria"/>
          <w:color w:val="000000"/>
          <w:sz w:val="48"/>
          <w:szCs w:val="48"/>
        </w:rPr>
        <w:t xml:space="preserve">Artifact 4: Capacity-Shift Decision Tree</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following decision tree provides a step-by-step analytical framework for determining whether a given state action involves a lawful or unlawful capacity shift. The tree is designed for use by litigators evaluating potential PUB/PRI violations.</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999999" w:sz="6"/>
              <w:left w:val="single" w:color="999999" w:sz="6"/>
              <w:bottom w:val="single" w:color="999999" w:sz="6"/>
              <w:right w:val="single" w:color="999999" w:sz="6"/>
            </w:tcBorders>
            <w:shd w:fill="F9F9F9" w:color="auto" w:val="clear"/>
            <w:tcMar>
              <w:top w:type="dxa" w:w="240"/>
              <w:left w:type="dxa" w:w="240"/>
              <w:bottom w:type="dxa" w:w="240"/>
              <w:right w:type="dxa" w:w="240"/>
            </w:tcMar>
          </w:tcPr>
          <w:p>
            <w:pPr>
              <w:spacing w:after="120" w:line="408" w:lineRule="auto"/>
            </w:pPr>
            <w:r>
              <w:t xml:space="preserve">STEP 1:  DOES THE STATE ACTION INVOLVE A SHIFT BETWEEN PUB AND PRI CAPACITY?
═══════════════════════════════════════════════════════════════════════════════
  Ask:  Is the state claiming attributes of one capacity while
        exercising functions of the other?
        Examples of capacity shift:
        • State claims immunity (PUB) for a commercial activity (PRI)
        • State imposes sovereign authority (PUB) via a "contract" (PRI)
        • State enters the market (PRI) but retains regulatory power (PUB)
  ┌──────────┐          ┌──────────┐
  │    NO    │          │   YES    │
  └────┬─────┘          └────┬─────┘
       │                     │
       ▼                     ▼
  Analyze under         Proceed to STEP 2
  single-capacity
  framework (pure
  PUB or pure PRI).
  No connector
  analysis needed.</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999999" w:sz="6"/>
              <w:left w:val="single" w:color="999999" w:sz="6"/>
              <w:bottom w:val="single" w:color="999999" w:sz="6"/>
              <w:right w:val="single" w:color="999999" w:sz="6"/>
            </w:tcBorders>
            <w:shd w:fill="F9F9F9" w:color="auto" w:val="clear"/>
            <w:tcMar>
              <w:top w:type="dxa" w:w="240"/>
              <w:left w:type="dxa" w:w="240"/>
              <w:bottom w:type="dxa" w:w="240"/>
              <w:right w:type="dxa" w:w="240"/>
            </w:tcMar>
          </w:tcPr>
          <w:p>
            <w:pPr>
              <w:spacing w:after="120" w:line="408" w:lineRule="auto"/>
            </w:pPr>
            <w:r>
              <w:t xml:space="preserve">STEP 2:  IDENTIFY THE DIRECTION OF THE SHIFT
═════════════════════════════════════════════
           ┌──────────────────────────────────────┐
           │  What is the DIRECTION of the shift? │
           └──────────────┬───────────────────────┘
                          │
            ┌─────────────┴─────────────┐
            ▼                           ▼
     ┌─────────────┐           ┌──────────────┐
     │  PUB → PRI  │           │  PRI → PUB   │
     │             │           │              │
     │ State moves │           │ State moves  │
     │ from        │           │ from         │
     │ sovereign   │           │ proprietary  │
     │ to market   │           │ to sovereign │
     │ capacity    │           │ capacity     │
     └──────┬──────┘           └──────┬───────┘
            │                         │
            ▼                         ▼
       Proceed to                Proceed to
       STEP 3A                   STEP 3B</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999999" w:sz="6"/>
              <w:left w:val="single" w:color="999999" w:sz="6"/>
              <w:bottom w:val="single" w:color="999999" w:sz="6"/>
              <w:right w:val="single" w:color="999999" w:sz="6"/>
            </w:tcBorders>
            <w:shd w:fill="F9F9F9" w:color="auto" w:val="clear"/>
            <w:tcMar>
              <w:top w:type="dxa" w:w="240"/>
              <w:left w:type="dxa" w:w="240"/>
              <w:bottom w:type="dxa" w:w="240"/>
              <w:right w:type="dxa" w:w="240"/>
            </w:tcMar>
          </w:tcPr>
          <w:p>
            <w:pPr>
              <w:spacing w:after="120" w:line="408" w:lineRule="auto"/>
            </w:pPr>
            <w:r>
              <w:t xml:space="preserve">STEP 3A:  PUB → PRI TRANSITION — CONNECTOR ANALYSIS
════════════════════════════════════════════════════
  Is the shift accomplished through:
  (a) STATUTORY WAIVER?                    (b) CONTRACTUAL ENTRY?
  ─────────────────────                    ──────────────────────
  Legislature expressly                    State voluntarily enters
  waived sovereign immunity                the marketplace as a
  for the specific activity.               contracting party.
  ┌─────────────────────┐                  ┌─────────────────────┐
  │  YES to (a) or (b)  │                  │   NO to both        │
  └──────────┬──────────┘                  └──────────┬──────────┘
             │                                        │
             ▼                                        ▼
  ┌──────────────────────┐              ┌──────────────────────────┐
  │  LAWFUL CONNECTOR    │              │  *** UNLAWFUL CAPACITY   │
  │  PRESENT.            │              │  SHIFT IDENTIFIED ***    │
  │                      │              │                          │
  │  Proceed to verify   │              │  The state is exercising │
  │  connector           │              │  proprietary functions   │
  │  requirements.       │              │  while retaining         │
  │  (See Step 4A)       │              │  sovereign shields, or   │
  └──────────────────────┘              │  vice versa.             │
                                        │                          │
                                        │  → FILE CAPACITY-        │
                                        │    VIOLATION CHALLENGE   │
                                        └──────────────────────────┘</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999999" w:sz="6"/>
              <w:left w:val="single" w:color="999999" w:sz="6"/>
              <w:bottom w:val="single" w:color="999999" w:sz="6"/>
              <w:right w:val="single" w:color="999999" w:sz="6"/>
            </w:tcBorders>
            <w:shd w:fill="F9F9F9" w:color="auto" w:val="clear"/>
            <w:tcMar>
              <w:top w:type="dxa" w:w="240"/>
              <w:left w:type="dxa" w:w="240"/>
              <w:bottom w:type="dxa" w:w="240"/>
              <w:right w:type="dxa" w:w="240"/>
            </w:tcMar>
          </w:tcPr>
          <w:p>
            <w:pPr>
              <w:spacing w:after="120" w:line="408" w:lineRule="auto"/>
            </w:pPr>
            <w:r>
              <w:t xml:space="preserve">STEP 3B:  PRI → PUB TRANSITION — CONNECTOR ANALYSIS
════════════════════════════════════════════════════
  Is the shift accomplished through:
  (c) INFORMED CONSENT?                   (d) DUE PROCESS TRANSITION?
  ──────────────────────                   ─────────────────────────
  Individual knowingly and                 State invokes sovereign
  voluntarily submitted to                 power through constitu-
  state authority.                         tionally adequate process.
  ┌─────────────────────┐                  ┌─────────────────────┐
  │  YES to (c) or (d)  │                  │   NO to both        │
  └──────────┬──────────┘                  └──────────┬──────────┘
             │                                        │
             ▼                                        ▼
  ┌──────────────────────┐              ┌──────────────────────────┐
  │  LAWFUL CONNECTOR    │              │  *** UNLAWFUL CAPACITY   │
  │  PRESENT.            │              │  SHIFT IDENTIFIED ***    │
  │                      │              │                          │
  │  Proceed to verify   │              │  The state is imposing   │
  │  connector           │              │  sovereign authority     │
  │  requirements.       │              │  over private interests  │
  │  (See Step 4B)       │              │  without constitutional  │
  └──────────────────────┘              │  process.                │
                                        │                          │
                                        │  → FILE DUE PROCESS /   │
                                        │    CAPACITY-VIOLATION    │
                                        │    CHALLENGE             │
                                        └──────────────────────────┘</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999999" w:sz="6"/>
              <w:left w:val="single" w:color="999999" w:sz="6"/>
              <w:bottom w:val="single" w:color="999999" w:sz="6"/>
              <w:right w:val="single" w:color="999999" w:sz="6"/>
            </w:tcBorders>
            <w:shd w:fill="F9F9F9" w:color="auto" w:val="clear"/>
            <w:tcMar>
              <w:top w:type="dxa" w:w="240"/>
              <w:left w:type="dxa" w:w="240"/>
              <w:bottom w:type="dxa" w:w="240"/>
              <w:right w:type="dxa" w:w="240"/>
            </w:tcMar>
          </w:tcPr>
          <w:p>
            <w:pPr>
              <w:spacing w:after="120" w:line="408" w:lineRule="auto"/>
            </w:pPr>
            <w:r>
              <w:t xml:space="preserve">STEP 4A:  VERIFY PUB → PRI CONNECTOR REQUIREMENTS
═══════════════════════════════════════════════════
  FOR STATUTORY WAIVER:                    FOR CONTRACTUAL ENTRY:
  ─────────────────────                    ──────────────────────
  □ Is the waiver EXPLICIT?                □ Was the entry VOLUNTARY?
    (Stated in plain statutory               (State chose to enter
    language, not implied)                   the market; not compelled)
  □ Is the waiver SPECIFIC?                □ Is the function one a
    (Identifies the particular               PRIVATE ENTITY could
    activity or claim type)                  perform for profit?
  □ Is the waiver UNAMBIGUOUS?             □ Did the state ASSUME
    (No reasonable alternative               PRIVATE-LAW OBLIGATIONS?
    reading that preserves                   (Contract terms, tort
    immunity)                                duties, commercial code)
  □ Was the waiver LEGISLATIVELY           □ Did the state FORGO
    ENACTED?                                 SOVEREIGN SHIELDS for
    (By the sovereign's own                  the proprietary activity?
    lawmaking body, not by
    executive action alone)
  If ANY element is not satisfied → Connector is DEFECTIVE.
  Treat as unlawful capacity shift.</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999999" w:sz="6"/>
              <w:left w:val="single" w:color="999999" w:sz="6"/>
              <w:bottom w:val="single" w:color="999999" w:sz="6"/>
              <w:right w:val="single" w:color="999999" w:sz="6"/>
            </w:tcBorders>
            <w:shd w:fill="F9F9F9" w:color="auto" w:val="clear"/>
            <w:tcMar>
              <w:top w:type="dxa" w:w="240"/>
              <w:left w:type="dxa" w:w="240"/>
              <w:bottom w:type="dxa" w:w="240"/>
              <w:right w:type="dxa" w:w="240"/>
            </w:tcMar>
          </w:tcPr>
          <w:p>
            <w:pPr>
              <w:spacing w:after="120" w:line="408" w:lineRule="auto"/>
            </w:pPr>
            <w:r>
              <w:t xml:space="preserve">STEP 4B:  VERIFY PRI → PUB CONNECTOR REQUIREMENTS
═══════════════════════════════════════════════════
  FOR INFORMED CONSENT:                    FOR DUE PROCESS TRANSITION:
  ─────────────────────                    ─────────────────────────
  □ Was consent KNOWING?                   □ Was NOTICE provided?
    (Individual understood the               (Adequate notice of the
    nature and consequences of               action, its basis, and
    the submission)                          the interests at stake)
  □ Was consent VOLUNTARY?                 □ Was there an OPPORTUNITY
    (Given freely, without                   TO BE HEARD?
    coercion, duress, or                     (Meaningful hearing at a
    monopoly pressure)                       meaningful time)
  □ Was consent FREE FROM                  □ Was the decision-maker
    COERCION OR MONOPOLY DURESS?             IMPARTIAL?
    (A meaningful alternative                (No personal or
    existed; the state was not               institutional bias;
    the sole provider)                       no financial interest
                                             in the outcome)
                                           □ Does the process satisfy
                                             MATHEWS v. ELDRIDGE
                                             balancing?
                                             (Private interest +
                                             risk of error +
                                             government interest)
  If ANY element is not satisfied → Connector is DEFECTIVE.
  Treat as unlawful capacity shift.</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CCCCC" w:sz="6"/>
              <w:left w:val="single" w:color="CCCCCC" w:sz="6"/>
              <w:bottom w:val="single" w:color="CCCCCC" w:sz="6"/>
              <w:right w:val="single" w:color="CCCCCC" w:sz="6"/>
            </w:tcBorders>
            <w:shd w:fill="FFF4E0" w:color="auto" w:val="clear"/>
            <w:tcMar>
              <w:top w:type="dxa" w:w="180"/>
              <w:left w:type="dxa" w:w="180"/>
              <w:bottom w:type="dxa" w:w="180"/>
              <w:right w:type="dxa" w:w="180"/>
            </w:tcMar>
          </w:tcPr>
          <w:p>
            <w:pPr>
              <w:spacing w:after="60" w:line="360" w:lineRule="auto"/>
            </w:pPr>
            <w:r>
              <w:rPr>
                <w:rFonts w:ascii="Cambria" w:cs="Cambria" w:eastAsia="Cambria" w:hAnsi="Cambria"/>
                <w:b/>
                <w:bCs/>
                <w:i w:val="false"/>
                <w:iCs w:val="false"/>
                <w:strike w:val="false"/>
                <w:color w:val="000000"/>
                <w:sz w:val="24"/>
                <w:szCs w:val="24"/>
              </w:rPr>
              <w:t xml:space="preserve">FINAL CHECK: CAPACITY MAINTENANCE</w:t>
            </w:r>
          </w:p>
          <w:p>
            <w:pPr>
              <w:spacing w:after="120" w:line="360" w:lineRule="auto"/>
            </w:pPr>
            <w:r>
              <w:rPr>
                <w:rFonts w:ascii="Cambria" w:cs="Cambria" w:eastAsia="Cambria" w:hAnsi="Cambria"/>
                <w:b w:val="false"/>
                <w:bCs w:val="false"/>
                <w:i w:val="false"/>
                <w:iCs w:val="false"/>
                <w:strike w:val="false"/>
                <w:color w:val="000000"/>
                <w:sz w:val="24"/>
                <w:szCs w:val="24"/>
              </w:rPr>
              <w:t xml:space="preserve">Even if a connector is present, does the state </w:t>
            </w:r>
            <w:r>
              <w:rPr>
                <w:rFonts w:ascii="Cambria" w:cs="Cambria" w:eastAsia="Cambria" w:hAnsi="Cambria"/>
                <w:b/>
                <w:bCs/>
                <w:i w:val="false"/>
                <w:iCs w:val="false"/>
                <w:strike w:val="false"/>
                <w:color w:val="000000"/>
                <w:sz w:val="24"/>
                <w:szCs w:val="24"/>
              </w:rPr>
              <w:t xml:space="preserve">maintain the obligations of the capacity it has entered</w:t>
            </w:r>
            <w:r>
              <w:rPr>
                <w:rFonts w:ascii="Cambria" w:cs="Cambria" w:eastAsia="Cambria" w:hAnsi="Cambria"/>
                <w:b w:val="false"/>
                <w:bCs w:val="false"/>
                <w:i w:val="false"/>
                <w:iCs w:val="false"/>
                <w:strike w:val="false"/>
                <w:color w:val="000000"/>
                <w:sz w:val="24"/>
                <w:szCs w:val="24"/>
              </w:rPr>
              <w:t xml:space="preserve">? A state that enters the market via Contractual Entry but then invokes sovereign immunity has </w:t>
            </w:r>
            <w:r>
              <w:rPr>
                <w:rFonts w:ascii="Cambria" w:cs="Cambria" w:eastAsia="Cambria" w:hAnsi="Cambria"/>
                <w:b/>
                <w:bCs/>
                <w:i w:val="false"/>
                <w:iCs w:val="false"/>
                <w:strike w:val="false"/>
                <w:color w:val="000000"/>
                <w:sz w:val="24"/>
                <w:szCs w:val="24"/>
              </w:rPr>
              <w:t xml:space="preserve">abandoned its connector</w:t>
            </w:r>
            <w:r>
              <w:rPr>
                <w:rFonts w:ascii="Cambria" w:cs="Cambria" w:eastAsia="Cambria" w:hAnsi="Cambria"/>
                <w:b w:val="false"/>
                <w:bCs w:val="false"/>
                <w:i w:val="false"/>
                <w:iCs w:val="false"/>
                <w:strike w:val="false"/>
                <w:color w:val="000000"/>
                <w:sz w:val="24"/>
                <w:szCs w:val="24"/>
              </w:rPr>
              <w:t xml:space="preserve"> and reverted to an unlawful hybrid position. The connector is not a one-time gate; it imposes </w:t>
            </w:r>
            <w:r>
              <w:rPr>
                <w:rFonts w:ascii="Cambria" w:cs="Cambria" w:eastAsia="Cambria" w:hAnsi="Cambria"/>
                <w:b w:val="false"/>
                <w:bCs w:val="false"/>
                <w:i/>
                <w:iCs/>
                <w:strike w:val="false"/>
                <w:color w:val="000000"/>
                <w:sz w:val="24"/>
                <w:szCs w:val="24"/>
              </w:rPr>
              <w:t xml:space="preserve">continuing obligations</w:t>
            </w:r>
            <w:r>
              <w:rPr>
                <w:rFonts w:ascii="Cambria" w:cs="Cambria" w:eastAsia="Cambria" w:hAnsi="Cambria"/>
                <w:b w:val="false"/>
                <w:bCs w:val="false"/>
                <w:i w:val="false"/>
                <w:iCs w:val="false"/>
                <w:strike w:val="false"/>
                <w:color w:val="000000"/>
                <w:sz w:val="24"/>
                <w:szCs w:val="24"/>
              </w:rPr>
              <w:t xml:space="preserve"> for the duration of the activity. A state that passes through a lawful connector but subsequently acts inconsistently with the capacity it entered has committed a </w:t>
            </w:r>
            <w:r>
              <w:rPr>
                <w:rFonts w:ascii="Cambria" w:cs="Cambria" w:eastAsia="Cambria" w:hAnsi="Cambria"/>
                <w:b/>
                <w:bCs/>
                <w:i w:val="false"/>
                <w:iCs w:val="false"/>
                <w:strike w:val="false"/>
                <w:color w:val="000000"/>
                <w:sz w:val="24"/>
                <w:szCs w:val="24"/>
              </w:rPr>
              <w:t xml:space="preserve">post-connector capacity violation</w:t>
            </w:r>
            <w:r>
              <w:rPr>
                <w:rFonts w:ascii="Cambria" w:cs="Cambria" w:eastAsia="Cambria" w:hAnsi="Cambria"/>
                <w:b w:val="false"/>
                <w:bCs w:val="false"/>
                <w:i w:val="false"/>
                <w:iCs w:val="false"/>
                <w:strike w:val="false"/>
                <w:color w:val="000000"/>
                <w:sz w:val="24"/>
                <w:szCs w:val="24"/>
              </w:rPr>
              <w:t xml:space="preserve">.</w:t>
            </w:r>
          </w:p>
        </w:tc>
      </w:tr>
    </w:tbl>
    <w:p>
      <w:pPr>
        <w:spacing w:after="240" w:before="0"/>
      </w:pPr>
    </w:p>
    <w:p>
      <w:pPr>
        <w:pStyle w:val="Heading1"/>
        <w:spacing w:after="120" w:before="480" w:line="312" w:lineRule="auto"/>
      </w:pPr>
      <w:r>
        <w:rPr>
          <w:rFonts w:ascii="Cambria" w:cs="Cambria" w:eastAsia="Cambria" w:hAnsi="Cambria"/>
          <w:color w:val="000000"/>
          <w:sz w:val="48"/>
          <w:szCs w:val="48"/>
        </w:rPr>
        <w:t xml:space="preserve">Artifact 5: Model Brief Section — PUB/PRI Connector Table as Exhibit A</w:t>
      </w:r>
    </w:p>
    <w:p>
      <w:pPr>
        <w:spacing w:after="240" w:before="60" w:line="360" w:lineRule="auto"/>
      </w:pPr>
      <w:r>
        <w:rPr>
          <w:rFonts w:ascii="Cambria" w:cs="Cambria" w:eastAsia="Cambria" w:hAnsi="Cambria"/>
          <w:b w:val="false"/>
          <w:bCs w:val="false"/>
          <w:i/>
          <w:iCs/>
          <w:strike w:val="false"/>
          <w:color w:val="000000"/>
          <w:sz w:val="24"/>
          <w:szCs w:val="24"/>
        </w:rPr>
        <w:t xml:space="preserve">The following is a model brief section suitable for insertion into a motion, memorandum of law, or appellate brief. Bracketed placeholders indicate case-specific facts to be supplied by counsel.</w:t>
      </w:r>
    </w:p>
    <w:p>
      <w:pPr>
        <w:pStyle w:val="Heading2"/>
        <w:spacing w:after="120" w:before="360" w:line="312" w:lineRule="auto"/>
        <w:jc w:val="center"/>
      </w:pPr>
      <w:r>
        <w:rPr>
          <w:rFonts w:ascii="Cambria" w:cs="Cambria" w:eastAsia="Cambria" w:hAnsi="Cambria"/>
          <w:color w:val="000000"/>
          <w:sz w:val="36"/>
          <w:szCs w:val="36"/>
        </w:rPr>
        <w:t xml:space="preserve">III. THE STATE’S ACTION CONSTITUTES AN UNLAWFUL PUB/PRI CAPACITY VIOLATION</w:t>
      </w:r>
    </w:p>
    <w:p>
      <w:pPr>
        <w:pStyle w:val="Heading3"/>
        <w:spacing w:after="120" w:before="240" w:line="312" w:lineRule="auto"/>
      </w:pPr>
      <w:r>
        <w:rPr>
          <w:rFonts w:ascii="Cambria" w:cs="Cambria" w:eastAsia="Cambria" w:hAnsi="Cambria"/>
          <w:color w:val="000000"/>
          <w:sz w:val="28"/>
          <w:szCs w:val="28"/>
        </w:rPr>
        <w:t xml:space="preserve">A. The PUB/PRI Framework</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governmental-proprietary distinction is a foundational doctrine of American public law. As the Supreme Court recognized in </w:t>
      </w:r>
      <w:r>
        <w:rPr>
          <w:rFonts w:ascii="Cambria" w:cs="Cambria" w:eastAsia="Cambria" w:hAnsi="Cambria"/>
          <w:b w:val="false"/>
          <w:bCs w:val="false"/>
          <w:i/>
          <w:iCs/>
          <w:strike w:val="false"/>
          <w:color w:val="000000"/>
          <w:sz w:val="24"/>
          <w:szCs w:val="24"/>
        </w:rPr>
        <w:t xml:space="preserve">Indian Towing Co. v. United States</w:t>
      </w:r>
      <w:r>
        <w:rPr>
          <w:rFonts w:ascii="Cambria" w:cs="Cambria" w:eastAsia="Cambria" w:hAnsi="Cambria"/>
          <w:b w:val="false"/>
          <w:bCs w:val="false"/>
          <w:i w:val="false"/>
          <w:iCs w:val="false"/>
          <w:strike w:val="false"/>
          <w:color w:val="000000"/>
          <w:sz w:val="24"/>
          <w:szCs w:val="24"/>
        </w:rPr>
        <w:t xml:space="preserve">, 350 U.S. 61 (1955), the line between sovereign and proprietary functions determines whether the state is held to the standard of a government exercising discretion or a private party exercising ordinary care. The distinction is not merely academic. It determines the availability of sovereign immunity, the applicable standard of liability, the governing body of law, and the remedial framework available to injured parties. </w:t>
      </w:r>
      <w:r>
        <w:rPr>
          <w:rFonts w:ascii="Cambria" w:cs="Cambria" w:eastAsia="Cambria" w:hAnsi="Cambria"/>
          <w:b w:val="false"/>
          <w:bCs w:val="false"/>
          <w:i/>
          <w:iCs/>
          <w:strike w:val="false"/>
          <w:color w:val="000000"/>
          <w:sz w:val="24"/>
          <w:szCs w:val="24"/>
        </w:rPr>
        <w:t xml:space="preserve">See</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val="false"/>
          <w:bCs w:val="false"/>
          <w:i/>
          <w:iCs/>
          <w:strike w:val="false"/>
          <w:color w:val="000000"/>
          <w:sz w:val="24"/>
          <w:szCs w:val="24"/>
        </w:rPr>
        <w:t xml:space="preserve">Owen v. City of Independence</w:t>
      </w:r>
      <w:r>
        <w:rPr>
          <w:rFonts w:ascii="Cambria" w:cs="Cambria" w:eastAsia="Cambria" w:hAnsi="Cambria"/>
          <w:b w:val="false"/>
          <w:bCs w:val="false"/>
          <w:i w:val="false"/>
          <w:iCs w:val="false"/>
          <w:strike w:val="false"/>
          <w:color w:val="000000"/>
          <w:sz w:val="24"/>
          <w:szCs w:val="24"/>
        </w:rPr>
        <w:t xml:space="preserve">, 445 U.S. 622, 638 (1980) (municipality acting in proprietary capacity “is to be treated as a private individual”); Wells &amp; Hellerstein, </w:t>
      </w:r>
      <w:r>
        <w:rPr>
          <w:rFonts w:ascii="Cambria" w:cs="Cambria" w:eastAsia="Cambria" w:hAnsi="Cambria"/>
          <w:b w:val="false"/>
          <w:bCs w:val="false"/>
          <w:i/>
          <w:iCs/>
          <w:strike w:val="false"/>
          <w:color w:val="000000"/>
          <w:sz w:val="24"/>
          <w:szCs w:val="24"/>
        </w:rPr>
        <w:t xml:space="preserve">The Governmental-Proprietary Distinction in Constitutional Law</w:t>
      </w:r>
      <w:r>
        <w:rPr>
          <w:rFonts w:ascii="Cambria" w:cs="Cambria" w:eastAsia="Cambria" w:hAnsi="Cambria"/>
          <w:b w:val="false"/>
          <w:bCs w:val="false"/>
          <w:i w:val="false"/>
          <w:iCs w:val="false"/>
          <w:strike w:val="false"/>
          <w:color w:val="000000"/>
          <w:sz w:val="24"/>
          <w:szCs w:val="24"/>
        </w:rPr>
        <w:t xml:space="preserve">, 66 Va. L. Rev. 1073 (1980).</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When the state acts in its sovereign capacity, it wields the police power, enjoys presumptive sovereign immunity, and is accountable through the political process. When the state acts in its proprietary capacity, it enters the marketplace, assumes the obligations of a private party, and is accountable through the law of contract and tort. These capacities are doctrinally distinct, and the transition between them must be accomplished through lawful means.</w:t>
      </w:r>
    </w:p>
    <w:p>
      <w:pPr>
        <w:pStyle w:val="Heading3"/>
        <w:spacing w:after="120" w:before="240" w:line="312" w:lineRule="auto"/>
      </w:pPr>
      <w:r>
        <w:rPr>
          <w:rFonts w:ascii="Cambria" w:cs="Cambria" w:eastAsia="Cambria" w:hAnsi="Cambria"/>
          <w:color w:val="000000"/>
          <w:sz w:val="28"/>
          <w:szCs w:val="28"/>
        </w:rPr>
        <w:t xml:space="preserve">B. The Four Lawful Connectors</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As set forth in the PUB/PRI Connector Table, attached hereto as </w:t>
      </w:r>
      <w:r>
        <w:rPr>
          <w:rFonts w:ascii="Cambria" w:cs="Cambria" w:eastAsia="Cambria" w:hAnsi="Cambria"/>
          <w:b/>
          <w:bCs/>
          <w:i w:val="false"/>
          <w:iCs w:val="false"/>
          <w:strike w:val="false"/>
          <w:color w:val="000000"/>
          <w:sz w:val="24"/>
          <w:szCs w:val="24"/>
        </w:rPr>
        <w:t xml:space="preserve">Exhibit A</w:t>
      </w:r>
      <w:r>
        <w:rPr>
          <w:rFonts w:ascii="Cambria" w:cs="Cambria" w:eastAsia="Cambria" w:hAnsi="Cambria"/>
          <w:b w:val="false"/>
          <w:bCs w:val="false"/>
          <w:i w:val="false"/>
          <w:iCs w:val="false"/>
          <w:strike w:val="false"/>
          <w:color w:val="000000"/>
          <w:sz w:val="24"/>
          <w:szCs w:val="24"/>
        </w:rPr>
        <w:t xml:space="preserve">, there are precisely four lawful mechanisms by which the State may transition between sovereign and proprietary capacity:</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Statutory Waiver</w:t>
      </w:r>
      <w:r>
        <w:rPr>
          <w:rFonts w:ascii="Cambria" w:cs="Cambria" w:eastAsia="Cambria" w:hAnsi="Cambria"/>
          <w:b w:val="false"/>
          <w:bCs w:val="false"/>
          <w:i w:val="false"/>
          <w:iCs w:val="false"/>
          <w:strike w:val="false"/>
          <w:color w:val="000000"/>
          <w:sz w:val="24"/>
          <w:szCs w:val="24"/>
        </w:rPr>
        <w:t xml:space="preserve"> (PUB → PRI): The legislature expressly and unambiguously waives sovereign immunity for a specific activity, thereby subjecting the state to private-law standards. </w:t>
      </w:r>
      <w:r>
        <w:rPr>
          <w:rFonts w:ascii="Cambria" w:cs="Cambria" w:eastAsia="Cambria" w:hAnsi="Cambria"/>
          <w:b w:val="false"/>
          <w:bCs w:val="false"/>
          <w:i/>
          <w:iCs/>
          <w:strike w:val="false"/>
          <w:color w:val="000000"/>
          <w:sz w:val="24"/>
          <w:szCs w:val="24"/>
        </w:rPr>
        <w:t xml:space="preserve">Alden v. Maine</w:t>
      </w:r>
      <w:r>
        <w:rPr>
          <w:rFonts w:ascii="Cambria" w:cs="Cambria" w:eastAsia="Cambria" w:hAnsi="Cambria"/>
          <w:b w:val="false"/>
          <w:bCs w:val="false"/>
          <w:i w:val="false"/>
          <w:iCs w:val="false"/>
          <w:strike w:val="false"/>
          <w:color w:val="000000"/>
          <w:sz w:val="24"/>
          <w:szCs w:val="24"/>
        </w:rPr>
        <w:t xml:space="preserve">, 527 U.S. 706 (1999).</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Contractual Entry</w:t>
      </w:r>
      <w:r>
        <w:rPr>
          <w:rFonts w:ascii="Cambria" w:cs="Cambria" w:eastAsia="Cambria" w:hAnsi="Cambria"/>
          <w:b w:val="false"/>
          <w:bCs w:val="false"/>
          <w:i w:val="false"/>
          <w:iCs w:val="false"/>
          <w:strike w:val="false"/>
          <w:color w:val="000000"/>
          <w:sz w:val="24"/>
          <w:szCs w:val="24"/>
        </w:rPr>
        <w:t xml:space="preserve"> (PUB → PRI): The state voluntarily enters the marketplace as a contracting party, assuming the obligations of a private market participant. </w:t>
      </w:r>
      <w:r>
        <w:rPr>
          <w:rFonts w:ascii="Cambria" w:cs="Cambria" w:eastAsia="Cambria" w:hAnsi="Cambria"/>
          <w:b w:val="false"/>
          <w:bCs w:val="false"/>
          <w:i/>
          <w:iCs/>
          <w:strike w:val="false"/>
          <w:color w:val="000000"/>
          <w:sz w:val="24"/>
          <w:szCs w:val="24"/>
        </w:rPr>
        <w:t xml:space="preserve">Reeves, Inc. v. Stake</w:t>
      </w:r>
      <w:r>
        <w:rPr>
          <w:rFonts w:ascii="Cambria" w:cs="Cambria" w:eastAsia="Cambria" w:hAnsi="Cambria"/>
          <w:b w:val="false"/>
          <w:bCs w:val="false"/>
          <w:i w:val="false"/>
          <w:iCs w:val="false"/>
          <w:strike w:val="false"/>
          <w:color w:val="000000"/>
          <w:sz w:val="24"/>
          <w:szCs w:val="24"/>
        </w:rPr>
        <w:t xml:space="preserve">, 447 U.S. 429 (1980).</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Informed Consent</w:t>
      </w:r>
      <w:r>
        <w:rPr>
          <w:rFonts w:ascii="Cambria" w:cs="Cambria" w:eastAsia="Cambria" w:hAnsi="Cambria"/>
          <w:b w:val="false"/>
          <w:bCs w:val="false"/>
          <w:i w:val="false"/>
          <w:iCs w:val="false"/>
          <w:strike w:val="false"/>
          <w:color w:val="000000"/>
          <w:sz w:val="24"/>
          <w:szCs w:val="24"/>
        </w:rPr>
        <w:t xml:space="preserve"> (PRI → PUB): An individual knowingly and voluntarily submits to state authority, consenting to the exercise of sovereign jurisdiction. </w:t>
      </w:r>
      <w:r>
        <w:rPr>
          <w:rFonts w:ascii="Cambria" w:cs="Cambria" w:eastAsia="Cambria" w:hAnsi="Cambria"/>
          <w:b w:val="false"/>
          <w:bCs w:val="false"/>
          <w:i/>
          <w:iCs/>
          <w:strike w:val="false"/>
          <w:color w:val="000000"/>
          <w:sz w:val="24"/>
          <w:szCs w:val="24"/>
        </w:rPr>
        <w:t xml:space="preserve">Schneckloth v. Bustamonte</w:t>
      </w:r>
      <w:r>
        <w:rPr>
          <w:rFonts w:ascii="Cambria" w:cs="Cambria" w:eastAsia="Cambria" w:hAnsi="Cambria"/>
          <w:b w:val="false"/>
          <w:bCs w:val="false"/>
          <w:i w:val="false"/>
          <w:iCs w:val="false"/>
          <w:strike w:val="false"/>
          <w:color w:val="000000"/>
          <w:sz w:val="24"/>
          <w:szCs w:val="24"/>
        </w:rPr>
        <w:t xml:space="preserve">, 412 U.S. 218 (1973).</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Due Process Transition</w:t>
      </w:r>
      <w:r>
        <w:rPr>
          <w:rFonts w:ascii="Cambria" w:cs="Cambria" w:eastAsia="Cambria" w:hAnsi="Cambria"/>
          <w:b w:val="false"/>
          <w:bCs w:val="false"/>
          <w:i w:val="false"/>
          <w:iCs w:val="false"/>
          <w:strike w:val="false"/>
          <w:color w:val="000000"/>
          <w:sz w:val="24"/>
          <w:szCs w:val="24"/>
        </w:rPr>
        <w:t xml:space="preserve"> (PRI → PUB): The state invokes sovereign power over private interests through constitutionally adequate process satisfying </w:t>
      </w:r>
      <w:r>
        <w:rPr>
          <w:rFonts w:ascii="Cambria" w:cs="Cambria" w:eastAsia="Cambria" w:hAnsi="Cambria"/>
          <w:b w:val="false"/>
          <w:bCs w:val="false"/>
          <w:i/>
          <w:iCs/>
          <w:strike w:val="false"/>
          <w:color w:val="000000"/>
          <w:sz w:val="24"/>
          <w:szCs w:val="24"/>
        </w:rPr>
        <w:t xml:space="preserve">Mathews v. Eldridge</w:t>
      </w:r>
      <w:r>
        <w:rPr>
          <w:rFonts w:ascii="Cambria" w:cs="Cambria" w:eastAsia="Cambria" w:hAnsi="Cambria"/>
          <w:b w:val="false"/>
          <w:bCs w:val="false"/>
          <w:i w:val="false"/>
          <w:iCs w:val="false"/>
          <w:strike w:val="false"/>
          <w:color w:val="000000"/>
          <w:sz w:val="24"/>
          <w:szCs w:val="24"/>
        </w:rPr>
        <w:t xml:space="preserve">, 424 U.S. 319 (1976).</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Any action that shifts capacity outside these four connectors constitutes a doctrinal violation—an unlawful assertion of sovereign privilege in a proprietary context, or an unlawful imposition of sovereign authority without constitutional process. There is no fifth pathway. The state must choose its capacity and bear its consequences.</w:t>
      </w:r>
    </w:p>
    <w:p>
      <w:pPr>
        <w:pStyle w:val="Heading3"/>
        <w:spacing w:after="120" w:before="240" w:line="312" w:lineRule="auto"/>
      </w:pPr>
      <w:r>
        <w:rPr>
          <w:rFonts w:ascii="Cambria" w:cs="Cambria" w:eastAsia="Cambria" w:hAnsi="Cambria"/>
          <w:color w:val="000000"/>
          <w:sz w:val="28"/>
          <w:szCs w:val="28"/>
        </w:rPr>
        <w:t xml:space="preserve">C. Application to the Present Case</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[Defendant agency] engaged in [</w:t>
      </w:r>
      <w:r>
        <w:rPr>
          <w:rFonts w:ascii="Cambria" w:cs="Cambria" w:eastAsia="Cambria" w:hAnsi="Cambria"/>
          <w:b w:val="false"/>
          <w:bCs w:val="false"/>
          <w:i/>
          <w:iCs/>
          <w:strike w:val="false"/>
          <w:color w:val="000000"/>
          <w:sz w:val="24"/>
          <w:szCs w:val="24"/>
        </w:rPr>
        <w:t xml:space="preserve">describe proprietary activity, e.g., “operating a revenue-generating utility service indistinguishable from a private commercial enterprise”</w:t>
      </w:r>
      <w:r>
        <w:rPr>
          <w:rFonts w:ascii="Cambria" w:cs="Cambria" w:eastAsia="Cambria" w:hAnsi="Cambria"/>
          <w:b w:val="false"/>
          <w:bCs w:val="false"/>
          <w:i w:val="false"/>
          <w:iCs w:val="false"/>
          <w:strike w:val="false"/>
          <w:color w:val="000000"/>
          <w:sz w:val="24"/>
          <w:szCs w:val="24"/>
        </w:rPr>
        <w:t xml:space="preserve">] while simultaneously [</w:t>
      </w:r>
      <w:r>
        <w:rPr>
          <w:rFonts w:ascii="Cambria" w:cs="Cambria" w:eastAsia="Cambria" w:hAnsi="Cambria"/>
          <w:b w:val="false"/>
          <w:bCs w:val="false"/>
          <w:i/>
          <w:iCs/>
          <w:strike w:val="false"/>
          <w:color w:val="000000"/>
          <w:sz w:val="24"/>
          <w:szCs w:val="24"/>
        </w:rPr>
        <w:t xml:space="preserve">describe sovereign shield being invoked, e.g., “claiming sovereign immunity to bar Plaintiff’s negligence claims arising from operational failures in that service”</w:t>
      </w:r>
      <w:r>
        <w:rPr>
          <w:rFonts w:ascii="Cambria" w:cs="Cambria" w:eastAsia="Cambria" w:hAnsi="Cambria"/>
          <w:b w:val="false"/>
          <w:bCs w:val="false"/>
          <w:i w:val="false"/>
          <w:iCs w:val="false"/>
          <w:strike w:val="false"/>
          <w:color w:val="000000"/>
          <w:sz w:val="24"/>
          <w:szCs w:val="24"/>
        </w:rPr>
        <w:t xml:space="preserve">].</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Applying the PUB/PRI decision tree, the analysis proceeds as follows:</w:t>
      </w:r>
    </w:p>
    <w:p>
      <w:pPr>
        <w:spacing w:after="120" w:before="60" w:line="360" w:lineRule="auto"/>
      </w:pPr>
      <w:r>
        <w:rPr>
          <w:rFonts w:ascii="Cambria" w:cs="Cambria" w:eastAsia="Cambria" w:hAnsi="Cambria"/>
          <w:b/>
          <w:bCs/>
          <w:i w:val="false"/>
          <w:iCs w:val="false"/>
          <w:strike w:val="false"/>
          <w:color w:val="000000"/>
          <w:sz w:val="24"/>
          <w:szCs w:val="24"/>
        </w:rPr>
        <w:t xml:space="preserve">Step 1: Capacity Shift Identified.</w:t>
      </w:r>
      <w:r>
        <w:rPr>
          <w:rFonts w:ascii="Cambria" w:cs="Cambria" w:eastAsia="Cambria" w:hAnsi="Cambria"/>
          <w:b w:val="false"/>
          <w:bCs w:val="false"/>
          <w:i w:val="false"/>
          <w:iCs w:val="false"/>
          <w:strike w:val="false"/>
          <w:color w:val="000000"/>
          <w:sz w:val="24"/>
          <w:szCs w:val="24"/>
        </w:rPr>
        <w:t xml:space="preserve"> [Defendant] claims the protections of sovereign capacity (immunity) while performing functions characteristic of proprietary capacity (commercial activity for revenue). This is a PUB/PRI capacity shift.</w:t>
      </w:r>
    </w:p>
    <w:p>
      <w:pPr>
        <w:spacing w:after="120" w:before="60" w:line="360" w:lineRule="auto"/>
      </w:pPr>
      <w:r>
        <w:rPr>
          <w:rFonts w:ascii="Cambria" w:cs="Cambria" w:eastAsia="Cambria" w:hAnsi="Cambria"/>
          <w:b/>
          <w:bCs/>
          <w:i w:val="false"/>
          <w:iCs w:val="false"/>
          <w:strike w:val="false"/>
          <w:color w:val="000000"/>
          <w:sz w:val="24"/>
          <w:szCs w:val="24"/>
        </w:rPr>
        <w:t xml:space="preserve">Step 2: Direction of Shift.</w:t>
      </w:r>
      <w:r>
        <w:rPr>
          <w:rFonts w:ascii="Cambria" w:cs="Cambria" w:eastAsia="Cambria" w:hAnsi="Cambria"/>
          <w:b w:val="false"/>
          <w:bCs w:val="false"/>
          <w:i w:val="false"/>
          <w:iCs w:val="false"/>
          <w:strike w:val="false"/>
          <w:color w:val="000000"/>
          <w:sz w:val="24"/>
          <w:szCs w:val="24"/>
        </w:rPr>
        <w:t xml:space="preserve"> [Defendant] entered the market as a proprietor (PRI) but now seeks to invoke sovereign immunity (PUB). The shift direction is PRI → PUB, or alternatively, [Defendant] seeks to retain PUB shields while operating in PRI mode.</w:t>
      </w:r>
    </w:p>
    <w:p>
      <w:pPr>
        <w:spacing w:after="120" w:before="60" w:line="360" w:lineRule="auto"/>
      </w:pPr>
      <w:r>
        <w:rPr>
          <w:rFonts w:ascii="Cambria" w:cs="Cambria" w:eastAsia="Cambria" w:hAnsi="Cambria"/>
          <w:b/>
          <w:bCs/>
          <w:i w:val="false"/>
          <w:iCs w:val="false"/>
          <w:strike w:val="false"/>
          <w:color w:val="000000"/>
          <w:sz w:val="24"/>
          <w:szCs w:val="24"/>
        </w:rPr>
        <w:t xml:space="preserve">Step 3: Connector Analysis.</w:t>
      </w:r>
      <w:r>
        <w:rPr>
          <w:rFonts w:ascii="Cambria" w:cs="Cambria" w:eastAsia="Cambria" w:hAnsi="Cambria"/>
          <w:b w:val="false"/>
          <w:bCs w:val="false"/>
          <w:i w:val="false"/>
          <w:iCs w:val="false"/>
          <w:strike w:val="false"/>
          <w:color w:val="000000"/>
          <w:sz w:val="24"/>
          <w:szCs w:val="24"/>
        </w:rPr>
        <w:t xml:space="preserve"> [Defendant] cannot identify any of the four lawful connectors authorizing this hybrid position:</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No </w:t>
      </w:r>
      <w:r>
        <w:rPr>
          <w:rFonts w:ascii="Cambria" w:cs="Cambria" w:eastAsia="Cambria" w:hAnsi="Cambria"/>
          <w:b w:val="false"/>
          <w:bCs w:val="false"/>
          <w:i/>
          <w:iCs/>
          <w:strike w:val="false"/>
          <w:color w:val="000000"/>
          <w:sz w:val="24"/>
          <w:szCs w:val="24"/>
        </w:rPr>
        <w:t xml:space="preserve">Statutory Waiver</w:t>
      </w:r>
      <w:r>
        <w:rPr>
          <w:rFonts w:ascii="Cambria" w:cs="Cambria" w:eastAsia="Cambria" w:hAnsi="Cambria"/>
          <w:b w:val="false"/>
          <w:bCs w:val="false"/>
          <w:i w:val="false"/>
          <w:iCs w:val="false"/>
          <w:strike w:val="false"/>
          <w:color w:val="000000"/>
          <w:sz w:val="24"/>
          <w:szCs w:val="24"/>
        </w:rPr>
        <w:t xml:space="preserve"> applies because [Defendant] is not waiving immunity—it is asserting immunity. This connector operates in the opposite direction.</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No </w:t>
      </w:r>
      <w:r>
        <w:rPr>
          <w:rFonts w:ascii="Cambria" w:cs="Cambria" w:eastAsia="Cambria" w:hAnsi="Cambria"/>
          <w:b w:val="false"/>
          <w:bCs w:val="false"/>
          <w:i/>
          <w:iCs/>
          <w:strike w:val="false"/>
          <w:color w:val="000000"/>
          <w:sz w:val="24"/>
          <w:szCs w:val="24"/>
        </w:rPr>
        <w:t xml:space="preserve">Contractual Entry</w:t>
      </w:r>
      <w:r>
        <w:rPr>
          <w:rFonts w:ascii="Cambria" w:cs="Cambria" w:eastAsia="Cambria" w:hAnsi="Cambria"/>
          <w:b w:val="false"/>
          <w:bCs w:val="false"/>
          <w:i w:val="false"/>
          <w:iCs w:val="false"/>
          <w:strike w:val="false"/>
          <w:color w:val="000000"/>
          <w:sz w:val="24"/>
          <w:szCs w:val="24"/>
        </w:rPr>
        <w:t xml:space="preserve"> was properly completed because [Defendant], while entering the market, has not accepted the corresponding private-law obligations—it seeks to retain its sovereign shield.</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No </w:t>
      </w:r>
      <w:r>
        <w:rPr>
          <w:rFonts w:ascii="Cambria" w:cs="Cambria" w:eastAsia="Cambria" w:hAnsi="Cambria"/>
          <w:b w:val="false"/>
          <w:bCs w:val="false"/>
          <w:i/>
          <w:iCs/>
          <w:strike w:val="false"/>
          <w:color w:val="000000"/>
          <w:sz w:val="24"/>
          <w:szCs w:val="24"/>
        </w:rPr>
        <w:t xml:space="preserve">Informed Consent</w:t>
      </w:r>
      <w:r>
        <w:rPr>
          <w:rFonts w:ascii="Cambria" w:cs="Cambria" w:eastAsia="Cambria" w:hAnsi="Cambria"/>
          <w:b w:val="false"/>
          <w:bCs w:val="false"/>
          <w:i w:val="false"/>
          <w:iCs w:val="false"/>
          <w:strike w:val="false"/>
          <w:color w:val="000000"/>
          <w:sz w:val="24"/>
          <w:szCs w:val="24"/>
        </w:rPr>
        <w:t xml:space="preserve"> was obtained because [</w:t>
      </w:r>
      <w:r>
        <w:rPr>
          <w:rFonts w:ascii="Cambria" w:cs="Cambria" w:eastAsia="Cambria" w:hAnsi="Cambria"/>
          <w:b w:val="false"/>
          <w:bCs w:val="false"/>
          <w:i/>
          <w:iCs/>
          <w:strike w:val="false"/>
          <w:color w:val="000000"/>
          <w:sz w:val="24"/>
          <w:szCs w:val="24"/>
        </w:rPr>
        <w:t xml:space="preserve">describe absence of voluntary consent, e.g., “Plaintiff had no meaningful alternative to [Defendant]’s monopoly service and could not freely decline the terms imposed”</w:t>
      </w:r>
      <w:r>
        <w:rPr>
          <w:rFonts w:ascii="Cambria" w:cs="Cambria" w:eastAsia="Cambria" w:hAnsi="Cambria"/>
          <w:b w:val="false"/>
          <w:bCs w:val="false"/>
          <w:i w:val="false"/>
          <w:iCs w:val="false"/>
          <w:strike w:val="false"/>
          <w:color w:val="000000"/>
          <w:sz w:val="24"/>
          <w:szCs w:val="24"/>
        </w:rPr>
        <w:t xml:space="preserve">].</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No </w:t>
      </w:r>
      <w:r>
        <w:rPr>
          <w:rFonts w:ascii="Cambria" w:cs="Cambria" w:eastAsia="Cambria" w:hAnsi="Cambria"/>
          <w:b w:val="false"/>
          <w:bCs w:val="false"/>
          <w:i/>
          <w:iCs/>
          <w:strike w:val="false"/>
          <w:color w:val="000000"/>
          <w:sz w:val="24"/>
          <w:szCs w:val="24"/>
        </w:rPr>
        <w:t xml:space="preserve">Due Process Transition</w:t>
      </w:r>
      <w:r>
        <w:rPr>
          <w:rFonts w:ascii="Cambria" w:cs="Cambria" w:eastAsia="Cambria" w:hAnsi="Cambria"/>
          <w:b w:val="false"/>
          <w:bCs w:val="false"/>
          <w:i w:val="false"/>
          <w:iCs w:val="false"/>
          <w:strike w:val="false"/>
          <w:color w:val="000000"/>
          <w:sz w:val="24"/>
          <w:szCs w:val="24"/>
        </w:rPr>
        <w:t xml:space="preserve"> occurred because [</w:t>
      </w:r>
      <w:r>
        <w:rPr>
          <w:rFonts w:ascii="Cambria" w:cs="Cambria" w:eastAsia="Cambria" w:hAnsi="Cambria"/>
          <w:b w:val="false"/>
          <w:bCs w:val="false"/>
          <w:i/>
          <w:iCs/>
          <w:strike w:val="false"/>
          <w:color w:val="000000"/>
          <w:sz w:val="24"/>
          <w:szCs w:val="24"/>
        </w:rPr>
        <w:t xml:space="preserve">describe absence of process, e.g., “[Defendant] provided no notice, hearing, or opportunity to contest the deprivation before it occurred”</w:t>
      </w:r>
      <w:r>
        <w:rPr>
          <w:rFonts w:ascii="Cambria" w:cs="Cambria" w:eastAsia="Cambria" w:hAnsi="Cambria"/>
          <w:b w:val="false"/>
          <w:bCs w:val="false"/>
          <w:i w:val="false"/>
          <w:iCs w:val="false"/>
          <w:strike w:val="false"/>
          <w:color w:val="000000"/>
          <w:sz w:val="24"/>
          <w:szCs w:val="24"/>
        </w:rPr>
        <w:t xml:space="preserve">].</w:t>
      </w:r>
    </w:p>
    <w:p>
      <w:pPr>
        <w:spacing w:after="120" w:before="60" w:line="360" w:lineRule="auto"/>
      </w:pPr>
      <w:r>
        <w:rPr>
          <w:rFonts w:ascii="Cambria" w:cs="Cambria" w:eastAsia="Cambria" w:hAnsi="Cambria"/>
          <w:b/>
          <w:bCs/>
          <w:i w:val="false"/>
          <w:iCs w:val="false"/>
          <w:strike w:val="false"/>
          <w:color w:val="000000"/>
          <w:sz w:val="24"/>
          <w:szCs w:val="24"/>
        </w:rPr>
        <w:t xml:space="preserve">Step 4: Conclusion.</w:t>
      </w:r>
      <w:r>
        <w:rPr>
          <w:rFonts w:ascii="Cambria" w:cs="Cambria" w:eastAsia="Cambria" w:hAnsi="Cambria"/>
          <w:b w:val="false"/>
          <w:bCs w:val="false"/>
          <w:i w:val="false"/>
          <w:iCs w:val="false"/>
          <w:strike w:val="false"/>
          <w:color w:val="000000"/>
          <w:sz w:val="24"/>
          <w:szCs w:val="24"/>
        </w:rPr>
        <w:t xml:space="preserve"> Because [Defendant]’s action does not satisfy any of the four lawful connectors, it constitutes an </w:t>
      </w:r>
      <w:r>
        <w:rPr>
          <w:rFonts w:ascii="Cambria" w:cs="Cambria" w:eastAsia="Cambria" w:hAnsi="Cambria"/>
          <w:b/>
          <w:bCs/>
          <w:i w:val="false"/>
          <w:iCs w:val="false"/>
          <w:strike w:val="false"/>
          <w:color w:val="000000"/>
          <w:sz w:val="24"/>
          <w:szCs w:val="24"/>
        </w:rPr>
        <w:t xml:space="preserve">unlawful PUB/PRI capacity violation</w:t>
      </w:r>
      <w:r>
        <w:rPr>
          <w:rFonts w:ascii="Cambria" w:cs="Cambria" w:eastAsia="Cambria" w:hAnsi="Cambria"/>
          <w:b w:val="false"/>
          <w:bCs w:val="false"/>
          <w:i w:val="false"/>
          <w:iCs w:val="false"/>
          <w:strike w:val="false"/>
          <w:color w:val="000000"/>
          <w:sz w:val="24"/>
          <w:szCs w:val="24"/>
        </w:rPr>
        <w:t xml:space="preserve">. [Defendant] has claimed the benefits of proprietary capacity (market revenue, contractual flexibility) while retaining the protections of sovereign capacity (immunity from suit). This hybrid position is doctrinally impermissible. The Court should [</w:t>
      </w:r>
      <w:r>
        <w:rPr>
          <w:rFonts w:ascii="Cambria" w:cs="Cambria" w:eastAsia="Cambria" w:hAnsi="Cambria"/>
          <w:b w:val="false"/>
          <w:bCs w:val="false"/>
          <w:i/>
          <w:iCs/>
          <w:strike w:val="false"/>
          <w:color w:val="000000"/>
          <w:sz w:val="24"/>
          <w:szCs w:val="24"/>
        </w:rPr>
        <w:t xml:space="preserve">state requested relief, e.g., “deny Defendant’s motion to dismiss on sovereign immunity grounds” or “find that Defendant is estopped from asserting sovereign immunity for its proprietary functions”</w:t>
      </w:r>
      <w:r>
        <w:rPr>
          <w:rFonts w:ascii="Cambria" w:cs="Cambria" w:eastAsia="Cambria" w:hAnsi="Cambria"/>
          <w:b w:val="false"/>
          <w:bCs w:val="false"/>
          <w:i w:val="false"/>
          <w:iCs w:val="false"/>
          <w:strike w:val="false"/>
          <w:color w:val="000000"/>
          <w:sz w:val="24"/>
          <w:szCs w:val="24"/>
        </w:rPr>
        <w:t xml:space="preserve">].</w:t>
      </w:r>
    </w:p>
    <w:p>
      <w:pPr>
        <w:spacing w:after="120" w:before="360" w:line="360" w:lineRule="auto"/>
        <w:jc w:val="center"/>
      </w:pPr>
      <w:r>
        <w:rPr>
          <w:rFonts w:ascii="Cambria" w:cs="Cambria" w:eastAsia="Cambria" w:hAnsi="Cambria"/>
          <w:b/>
          <w:bCs/>
          <w:i w:val="false"/>
          <w:iCs w:val="false"/>
          <w:strike w:val="false"/>
          <w:color w:val="000000"/>
          <w:sz w:val="28"/>
          <w:szCs w:val="28"/>
        </w:rPr>
        <w:t xml:space="preserve">EXHIBIT A</w:t>
      </w:r>
    </w:p>
    <w:p>
      <w:pPr>
        <w:spacing w:after="240" w:before="60" w:line="360" w:lineRule="auto"/>
        <w:jc w:val="center"/>
      </w:pPr>
      <w:r>
        <w:rPr>
          <w:rFonts w:ascii="Cambria" w:cs="Cambria" w:eastAsia="Cambria" w:hAnsi="Cambria"/>
          <w:b/>
          <w:bCs/>
          <w:i w:val="false"/>
          <w:iCs w:val="false"/>
          <w:strike w:val="false"/>
          <w:color w:val="000000"/>
          <w:sz w:val="24"/>
          <w:szCs w:val="24"/>
        </w:rPr>
        <w:t xml:space="preserve">PUB/PRI CONNECTOR TABLE</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gridCol w:w="100"/>
      </w:tblGrid>
      <w:tr>
        <w:trPr>
          <w:tblHeader/>
        </w:trPr>
        <w:tc>
          <w:tcPr>
            <w:tcW w:type="pct" w:w="10%"/>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Connector</w:t>
            </w:r>
          </w:p>
        </w:tc>
        <w:tc>
          <w:tcPr>
            <w:tcW w:type="pct" w:w="9%"/>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Direction</w:t>
            </w:r>
          </w:p>
        </w:tc>
        <w:tc>
          <w:tcPr>
            <w:tcW w:type="pct" w:w="1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Mechanism</w:t>
            </w:r>
          </w:p>
        </w:tc>
        <w:tc>
          <w:tcPr>
            <w:tcW w:type="pct" w:w="20%"/>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Constitutional Test</w:t>
            </w:r>
          </w:p>
        </w:tc>
        <w:tc>
          <w:tcPr>
            <w:tcW w:type="pct" w:w="1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Key Cases</w:t>
            </w:r>
          </w:p>
        </w:tc>
        <w:tc>
          <w:tcPr>
            <w:tcW w:type="pct" w:w="25%"/>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Litigation Challenge if Absent</w:t>
            </w:r>
          </w:p>
        </w:tc>
      </w:tr>
      <w:tr>
        <w:trPr>
          <w:tblHeader w:val="false"/>
        </w:trPr>
        <w:tc>
          <w:tcPr>
            <w:tcW w:type="pct" w:w="10%"/>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1. Statutory Waiver</w:t>
            </w:r>
          </w:p>
        </w:tc>
        <w:tc>
          <w:tcPr>
            <w:tcW w:type="pct" w:w="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PUB → PRI</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Legislature expressly waives sovereign immunity for a specific activity or claim type</w:t>
            </w:r>
          </w:p>
        </w:tc>
        <w:tc>
          <w:tcPr>
            <w:tcW w:type="pct" w:w="2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Waiver must be explicit, specific, unambiguous, and legislatively enacted</w:t>
            </w:r>
          </w:p>
        </w:tc>
        <w:tc>
          <w:tcPr>
            <w:tcW w:type="pct" w:w="18%"/>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Alden v. Maine</w:t>
            </w:r>
            <w:r>
              <w:rPr>
                <w:rFonts w:ascii="Cambria" w:cs="Cambria" w:eastAsia="Cambria" w:hAnsi="Cambria"/>
                <w:b w:val="false"/>
                <w:bCs w:val="false"/>
                <w:i w:val="false"/>
                <w:iCs w:val="false"/>
                <w:strike w:val="false"/>
                <w:color w:val="000000"/>
                <w:sz w:val="24"/>
                <w:szCs w:val="24"/>
              </w:rPr>
              <w:t xml:space="preserve">, 527 U.S. 706 (1999); </w:t>
            </w:r>
            <w:r>
              <w:rPr>
                <w:rFonts w:ascii="Cambria" w:cs="Cambria" w:eastAsia="Cambria" w:hAnsi="Cambria"/>
                <w:b w:val="false"/>
                <w:bCs w:val="false"/>
                <w:i/>
                <w:iCs/>
                <w:strike w:val="false"/>
                <w:color w:val="000000"/>
                <w:sz w:val="24"/>
                <w:szCs w:val="24"/>
              </w:rPr>
              <w:t xml:space="preserve">Atascadero State Hosp. v. Scanlon</w:t>
            </w:r>
            <w:r>
              <w:rPr>
                <w:rFonts w:ascii="Cambria" w:cs="Cambria" w:eastAsia="Cambria" w:hAnsi="Cambria"/>
                <w:b w:val="false"/>
                <w:bCs w:val="false"/>
                <w:i w:val="false"/>
                <w:iCs w:val="false"/>
                <w:strike w:val="false"/>
                <w:color w:val="000000"/>
                <w:sz w:val="24"/>
                <w:szCs w:val="24"/>
              </w:rPr>
              <w:t xml:space="preserve">, 473 U.S. 234 (1985)</w:t>
            </w:r>
          </w:p>
        </w:tc>
        <w:tc>
          <w:tcPr>
            <w:tcW w:type="pct" w:w="2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State is asserting proprietary function without legislative authorization to be treated as a private party. Challenge immunity claim as inconsistent with proprietary activity.</w:t>
            </w:r>
          </w:p>
        </w:tc>
      </w:tr>
      <w:tr>
        <w:trPr>
          <w:tblHeader w:val="false"/>
        </w:trPr>
        <w:tc>
          <w:tcPr>
            <w:tcW w:type="pct" w:w="10%"/>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2. Contractual Entry</w:t>
            </w:r>
          </w:p>
        </w:tc>
        <w:tc>
          <w:tcPr>
            <w:tcW w:type="pct" w:w="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PUB → PRI</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State voluntarily enters marketplace as a contracting party, assuming private-law obligations</w:t>
            </w:r>
          </w:p>
        </w:tc>
        <w:tc>
          <w:tcPr>
            <w:tcW w:type="pct" w:w="2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Function must be one a private entity could perform for profit; state must accept private-law duties and forgo sovereign shields</w:t>
            </w:r>
          </w:p>
        </w:tc>
        <w:tc>
          <w:tcPr>
            <w:tcW w:type="pct" w:w="18%"/>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Reeves, Inc. v. Stake</w:t>
            </w:r>
            <w:r>
              <w:rPr>
                <w:rFonts w:ascii="Cambria" w:cs="Cambria" w:eastAsia="Cambria" w:hAnsi="Cambria"/>
                <w:b w:val="false"/>
                <w:bCs w:val="false"/>
                <w:i w:val="false"/>
                <w:iCs w:val="false"/>
                <w:strike w:val="false"/>
                <w:color w:val="000000"/>
                <w:sz w:val="24"/>
                <w:szCs w:val="24"/>
              </w:rPr>
              <w:t xml:space="preserve">, 447 U.S. 429 (1980); </w:t>
            </w:r>
            <w:r>
              <w:rPr>
                <w:rFonts w:ascii="Cambria" w:cs="Cambria" w:eastAsia="Cambria" w:hAnsi="Cambria"/>
                <w:b w:val="false"/>
                <w:bCs w:val="false"/>
                <w:i/>
                <w:iCs/>
                <w:strike w:val="false"/>
                <w:color w:val="000000"/>
                <w:sz w:val="24"/>
                <w:szCs w:val="24"/>
              </w:rPr>
              <w:t xml:space="preserve">South-Central Timber Dev. v. Wunnicke</w:t>
            </w:r>
            <w:r>
              <w:rPr>
                <w:rFonts w:ascii="Cambria" w:cs="Cambria" w:eastAsia="Cambria" w:hAnsi="Cambria"/>
                <w:b w:val="false"/>
                <w:bCs w:val="false"/>
                <w:i w:val="false"/>
                <w:iCs w:val="false"/>
                <w:strike w:val="false"/>
                <w:color w:val="000000"/>
                <w:sz w:val="24"/>
                <w:szCs w:val="24"/>
              </w:rPr>
              <w:t xml:space="preserve">, 467 U.S. 82 (1984)</w:t>
            </w:r>
          </w:p>
        </w:tc>
        <w:tc>
          <w:tcPr>
            <w:tcW w:type="pct" w:w="2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State entered market for profit but retains sovereign immunity. Challenge: market entry is an implied waiver of immunity for that activity.</w:t>
            </w:r>
          </w:p>
        </w:tc>
      </w:tr>
      <w:tr>
        <w:trPr>
          <w:tblHeader w:val="false"/>
        </w:trPr>
        <w:tc>
          <w:tcPr>
            <w:tcW w:type="pct" w:w="10%"/>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3. Informed Consent</w:t>
            </w:r>
          </w:p>
        </w:tc>
        <w:tc>
          <w:tcPr>
            <w:tcW w:type="pct" w:w="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PRI → PUB</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Individual knowingly and voluntarily submits to state authority and sovereign jurisdiction</w:t>
            </w:r>
          </w:p>
        </w:tc>
        <w:tc>
          <w:tcPr>
            <w:tcW w:type="pct" w:w="2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Consent must be knowing, voluntary, and free from coercion or monopoly duress; totality of circumstances</w:t>
            </w:r>
          </w:p>
        </w:tc>
        <w:tc>
          <w:tcPr>
            <w:tcW w:type="pct" w:w="18%"/>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Schneckloth v. Bustamonte</w:t>
            </w:r>
            <w:r>
              <w:rPr>
                <w:rFonts w:ascii="Cambria" w:cs="Cambria" w:eastAsia="Cambria" w:hAnsi="Cambria"/>
                <w:b w:val="false"/>
                <w:bCs w:val="false"/>
                <w:i w:val="false"/>
                <w:iCs w:val="false"/>
                <w:strike w:val="false"/>
                <w:color w:val="000000"/>
                <w:sz w:val="24"/>
                <w:szCs w:val="24"/>
              </w:rPr>
              <w:t xml:space="preserve">, 412 U.S. 218 (1973); </w:t>
            </w:r>
            <w:r>
              <w:rPr>
                <w:rFonts w:ascii="Cambria" w:cs="Cambria" w:eastAsia="Cambria" w:hAnsi="Cambria"/>
                <w:b w:val="false"/>
                <w:bCs w:val="false"/>
                <w:i/>
                <w:iCs/>
                <w:strike w:val="false"/>
                <w:color w:val="000000"/>
                <w:sz w:val="24"/>
                <w:szCs w:val="24"/>
              </w:rPr>
              <w:t xml:space="preserve">Koontz v. St. Johns River Water Mgmt. Dist.</w:t>
            </w:r>
            <w:r>
              <w:rPr>
                <w:rFonts w:ascii="Cambria" w:cs="Cambria" w:eastAsia="Cambria" w:hAnsi="Cambria"/>
                <w:b w:val="false"/>
                <w:bCs w:val="false"/>
                <w:i w:val="false"/>
                <w:iCs w:val="false"/>
                <w:strike w:val="false"/>
                <w:color w:val="000000"/>
                <w:sz w:val="24"/>
                <w:szCs w:val="24"/>
              </w:rPr>
              <w:t xml:space="preserve">, 570 U.S. 595 (2013)</w:t>
            </w:r>
          </w:p>
        </w:tc>
        <w:tc>
          <w:tcPr>
            <w:tcW w:type="pct" w:w="2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State imposed sovereign authority without valid consent. Challenge: “consent” was coerced, uninformed, or obtained under monopoly conditions.</w:t>
            </w:r>
          </w:p>
        </w:tc>
      </w:tr>
      <w:tr>
        <w:trPr>
          <w:tblHeader w:val="false"/>
        </w:trPr>
        <w:tc>
          <w:tcPr>
            <w:tcW w:type="pct" w:w="10%"/>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4. Due Process Transition</w:t>
            </w:r>
          </w:p>
        </w:tc>
        <w:tc>
          <w:tcPr>
            <w:tcW w:type="pct" w:w="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PRI → PUB</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State invokes sovereign power over private interests through constitutionally adequate procedural safeguards</w:t>
            </w:r>
          </w:p>
        </w:tc>
        <w:tc>
          <w:tcPr>
            <w:tcW w:type="pct" w:w="20%"/>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Mathews v. Eldridge</w:t>
            </w:r>
            <w:r>
              <w:rPr>
                <w:rFonts w:ascii="Cambria" w:cs="Cambria" w:eastAsia="Cambria" w:hAnsi="Cambria"/>
                <w:b w:val="false"/>
                <w:bCs w:val="false"/>
                <w:i w:val="false"/>
                <w:iCs w:val="false"/>
                <w:strike w:val="false"/>
                <w:color w:val="000000"/>
                <w:sz w:val="24"/>
                <w:szCs w:val="24"/>
              </w:rPr>
              <w:t xml:space="preserve"> three-part balancing: (1) private interest; (2) risk of error and value of safeguards; (3) government interest</w:t>
            </w:r>
          </w:p>
        </w:tc>
        <w:tc>
          <w:tcPr>
            <w:tcW w:type="pct" w:w="18%"/>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Mathews v. Eldridge</w:t>
            </w:r>
            <w:r>
              <w:rPr>
                <w:rFonts w:ascii="Cambria" w:cs="Cambria" w:eastAsia="Cambria" w:hAnsi="Cambria"/>
                <w:b w:val="false"/>
                <w:bCs w:val="false"/>
                <w:i w:val="false"/>
                <w:iCs w:val="false"/>
                <w:strike w:val="false"/>
                <w:color w:val="000000"/>
                <w:sz w:val="24"/>
                <w:szCs w:val="24"/>
              </w:rPr>
              <w:t xml:space="preserve">, 424 U.S. 319 (1976); </w:t>
            </w:r>
            <w:r>
              <w:rPr>
                <w:rFonts w:ascii="Cambria" w:cs="Cambria" w:eastAsia="Cambria" w:hAnsi="Cambria"/>
                <w:b w:val="false"/>
                <w:bCs w:val="false"/>
                <w:i/>
                <w:iCs/>
                <w:strike w:val="false"/>
                <w:color w:val="000000"/>
                <w:sz w:val="24"/>
                <w:szCs w:val="24"/>
              </w:rPr>
              <w:t xml:space="preserve">Goldberg v. Kelly</w:t>
            </w:r>
            <w:r>
              <w:rPr>
                <w:rFonts w:ascii="Cambria" w:cs="Cambria" w:eastAsia="Cambria" w:hAnsi="Cambria"/>
                <w:b w:val="false"/>
                <w:bCs w:val="false"/>
                <w:i w:val="false"/>
                <w:iCs w:val="false"/>
                <w:strike w:val="false"/>
                <w:color w:val="000000"/>
                <w:sz w:val="24"/>
                <w:szCs w:val="24"/>
              </w:rPr>
              <w:t xml:space="preserve">, 397 U.S. 254 (1970); </w:t>
            </w:r>
            <w:r>
              <w:rPr>
                <w:rFonts w:ascii="Cambria" w:cs="Cambria" w:eastAsia="Cambria" w:hAnsi="Cambria"/>
                <w:b w:val="false"/>
                <w:bCs w:val="false"/>
                <w:i/>
                <w:iCs/>
                <w:strike w:val="false"/>
                <w:color w:val="000000"/>
                <w:sz w:val="24"/>
                <w:szCs w:val="24"/>
              </w:rPr>
              <w:t xml:space="preserve">Loudermill</w:t>
            </w:r>
            <w:r>
              <w:rPr>
                <w:rFonts w:ascii="Cambria" w:cs="Cambria" w:eastAsia="Cambria" w:hAnsi="Cambria"/>
                <w:b w:val="false"/>
                <w:bCs w:val="false"/>
                <w:i w:val="false"/>
                <w:iCs w:val="false"/>
                <w:strike w:val="false"/>
                <w:color w:val="000000"/>
                <w:sz w:val="24"/>
                <w:szCs w:val="24"/>
              </w:rPr>
              <w:t xml:space="preserve">, 470 U.S. 532 (1985)</w:t>
            </w:r>
          </w:p>
        </w:tc>
        <w:tc>
          <w:tcPr>
            <w:tcW w:type="pct" w:w="2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State deprived private interest without adequate process. Challenge: no notice, no hearing, no impartial decision-maker. The “administrative” label does not eliminate due process obligations.</w:t>
            </w:r>
          </w:p>
        </w:tc>
      </w:tr>
    </w:tbl>
    <w:p>
      <w:pPr>
        <w:spacing w:after="200" w:before="0"/>
      </w:pPr>
    </w:p>
    <w:p>
      <w:pPr>
        <w:pStyle w:val="Heading1"/>
        <w:spacing w:after="120" w:before="480" w:line="312" w:lineRule="auto"/>
      </w:pPr>
      <w:r>
        <w:rPr>
          <w:rFonts w:ascii="Cambria" w:cs="Cambria" w:eastAsia="Cambria" w:hAnsi="Cambria"/>
          <w:color w:val="000000"/>
          <w:sz w:val="48"/>
          <w:szCs w:val="48"/>
        </w:rPr>
        <w:t xml:space="preserve">Methodological Note: How the Five Artifacts Interrelate</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five artifacts in this suite are designed to function both independently and as an integrated analytical system. Each artifact serves a distinct purpose, but together they form a complete toolkit for PUB/PRI capacity analysis in litigation:</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tblGrid>
      <w:tr>
        <w:trPr>
          <w:tblHeader/>
        </w:trPr>
        <w:tc>
          <w:tcPr>
            <w:tcW w:type="pct" w:w="15%"/>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Artifact</w:t>
            </w:r>
          </w:p>
        </w:tc>
        <w:tc>
          <w:tcPr>
            <w:tcW w:type="pct" w:w="19%"/>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Function</w:t>
            </w:r>
          </w:p>
        </w:tc>
        <w:tc>
          <w:tcPr>
            <w:tcW w:type="pct" w:w="66%"/>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Role in the System</w:t>
            </w:r>
          </w:p>
        </w:tc>
      </w:tr>
      <w:tr>
        <w:trPr>
          <w:tblHeader w:val="false"/>
        </w:trPr>
        <w:tc>
          <w:tcPr>
            <w:tcW w:type="pct" w:w="15%"/>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1. Flowchart</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Maps the doctrine</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Establishes the four lawful connectors and their directional operation, providing the structural foundation for all subsequent analysis.</w:t>
            </w:r>
          </w:p>
        </w:tc>
      </w:tr>
      <w:tr>
        <w:trPr>
          <w:tblHeader w:val="false"/>
        </w:trPr>
        <w:tc>
          <w:tcPr>
            <w:tcW w:type="pct" w:w="15%"/>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2. Pathways Diagram</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Distinguishes the two capacities</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Defines the attributes of PUB and PRI capacity in parallel, making clear that each capacity carries distinct obligations, standards, and legal consequences.</w:t>
            </w:r>
          </w:p>
        </w:tc>
      </w:tr>
      <w:tr>
        <w:trPr>
          <w:tblHeader w:val="false"/>
        </w:trPr>
        <w:tc>
          <w:tcPr>
            <w:tcW w:type="pct" w:w="15%"/>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3. Contradiction Matrix</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Identifies failure modes</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Catalogs the recurring patterns of PUB/PRI conflation, providing litigators with a diagnostic tool for identifying capacity violations in specific fact patterns.</w:t>
            </w:r>
          </w:p>
        </w:tc>
      </w:tr>
      <w:tr>
        <w:trPr>
          <w:tblHeader w:val="false"/>
        </w:trPr>
        <w:tc>
          <w:tcPr>
            <w:tcW w:type="pct" w:w="15%"/>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4. Decision Tree</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Operationalizes the analysis</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Provides a step-by-step analytical walkthrough for determining whether a given state action involves a lawful or unlawful capacity shift, suitable for use in case evaluation and brief drafting.</w:t>
            </w:r>
          </w:p>
        </w:tc>
      </w:tr>
      <w:tr>
        <w:trPr>
          <w:tblHeader w:val="false"/>
        </w:trPr>
        <w:tc>
          <w:tcPr>
            <w:tcW w:type="pct" w:w="15%"/>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5. Model Brief</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Deploys the framework in litigation</w:t>
            </w:r>
          </w:p>
        </w:tc>
        <w:tc>
          <w:tcPr>
            <w:tcW w:type="pct" w:w="6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4"/>
                <w:szCs w:val="24"/>
              </w:rPr>
              <w:t xml:space="preserve">Translates the doctrinal analysis into court-ready legal prose, with bracketed placeholders for case-specific facts, demonstrating how the framework is applied in an actual motion or brief.</w:t>
            </w:r>
          </w:p>
        </w:tc>
      </w:tr>
    </w:tbl>
    <w:p>
      <w:pPr>
        <w:spacing w:after="200" w:before="0"/>
      </w:pP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analytical thread running through all five artifacts is a single proposition: </w:t>
      </w:r>
      <w:r>
        <w:rPr>
          <w:rFonts w:ascii="Cambria" w:cs="Cambria" w:eastAsia="Cambria" w:hAnsi="Cambria"/>
          <w:b/>
          <w:bCs/>
          <w:i w:val="false"/>
          <w:iCs w:val="false"/>
          <w:strike w:val="false"/>
          <w:color w:val="000000"/>
          <w:sz w:val="24"/>
          <w:szCs w:val="24"/>
        </w:rPr>
        <w:t xml:space="preserve">PUB and PRI are mutually exclusive capacities, and the transition between them must be accomplished through one of four lawful connectors.</w:t>
      </w:r>
      <w:r>
        <w:rPr>
          <w:rFonts w:ascii="Cambria" w:cs="Cambria" w:eastAsia="Cambria" w:hAnsi="Cambria"/>
          <w:b w:val="false"/>
          <w:bCs w:val="false"/>
          <w:i w:val="false"/>
          <w:iCs w:val="false"/>
          <w:strike w:val="false"/>
          <w:color w:val="000000"/>
          <w:sz w:val="24"/>
          <w:szCs w:val="24"/>
        </w:rPr>
        <w:t xml:space="preserve"> When the state fails to use a lawful connector—or uses one but then abandons its obligations—the resulting hybrid position is doctrinally unlawful and subject to challenge. This suite provides the vocabulary, structure, and litigation tools to make that challenge.</w:t>
      </w:r>
    </w:p>
    <w:p>
      <w:pPr>
        <w:spacing w:after="120" w:before="60" w:line="360" w:lineRule="auto"/>
        <w:jc w:val="center"/>
      </w:pPr>
      <w:r>
        <w:rPr>
          <w:rFonts w:ascii="Cambria" w:cs="Cambria" w:eastAsia="Cambria" w:hAnsi="Cambria"/>
          <w:b w:val="false"/>
          <w:bCs w:val="false"/>
          <w:i w:val="false"/>
          <w:iCs w:val="false"/>
          <w:strike w:val="false"/>
          <w:color w:val="666666"/>
          <w:sz w:val="24"/>
          <w:szCs w:val="24"/>
        </w:rPr>
        <w:t xml:space="preserve">*   *   *</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00000"/>
      <w:sz w:val="48"/>
      <w:szCs w:val="48"/>
    </w:rPr>
  </w:style>
  <w:style w:type="paragraph" w:styleId="Heading2">
    <w:name w:val="Heading 2"/>
    <w:basedOn w:val="Normal"/>
    <w:next w:val="Normal"/>
    <w:qFormat/>
    <w:rPr>
      <w:rFonts w:ascii="Arial" w:cs="Arial" w:eastAsia="Arial" w:hAnsi="Arial"/>
      <w:b/>
      <w:bCs/>
      <w:color w:val="000000"/>
      <w:sz w:val="36"/>
      <w:szCs w:val="36"/>
    </w:rPr>
  </w:style>
  <w:style w:type="paragraph" w:styleId="Heading3">
    <w:name w:val="Heading 3"/>
    <w:basedOn w:val="Normal"/>
    <w:next w:val="Normal"/>
    <w:qFormat/>
    <w:rPr>
      <w:rFonts w:ascii="Arial" w:cs="Arial" w:eastAsia="Arial" w:hAnsi="Arial"/>
      <w:b/>
      <w:bCs/>
      <w:color w:val="000000"/>
      <w:sz w:val="30"/>
      <w:szCs w:val="30"/>
    </w:rPr>
  </w:style>
  <w:style w:type="paragraph" w:styleId="Heading4">
    <w:name w:val="Heading 4"/>
    <w:basedOn w:val="Normal"/>
    <w:next w:val="Normal"/>
    <w:qFormat/>
    <w:rPr>
      <w:rFonts w:ascii="Arial" w:cs="Arial" w:eastAsia="Arial" w:hAnsi="Arial"/>
      <w:b/>
      <w:bCs/>
      <w:color w:val="000000"/>
      <w:sz w:val="26"/>
      <w:szCs w:val="26"/>
    </w:rPr>
  </w:style>
  <w:style w:type="paragraph" w:styleId="Heading5">
    <w:name w:val="Heading 5"/>
    <w:basedOn w:val="Normal"/>
    <w:next w:val="Normal"/>
    <w:qFormat/>
    <w:rPr>
      <w:rFonts w:ascii="Arial" w:cs="Arial" w:eastAsia="Arial" w:hAnsi="Arial"/>
      <w:b/>
      <w:bCs/>
      <w:color w:val="000000"/>
      <w:sz w:val="24"/>
      <w:szCs w:val="24"/>
    </w:rPr>
  </w:style>
  <w:style w:type="paragraph" w:styleId="Heading6">
    <w:name w:val="Heading 6"/>
    <w:basedOn w:val="Normal"/>
    <w:next w:val="Normal"/>
    <w:qFormat/>
    <w:rPr>
      <w:rFonts w:ascii="Arial" w:cs="Arial" w:eastAsia="Arial" w:hAnsi="Arial"/>
      <w:b/>
      <w:bCs/>
      <w:color w:val="000000"/>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C9ZN2bsWBy9F23BHsoTUZ</dc:title>
  <dc:creator>Un-named</dc:creator>
  <dc:description>Generated document</dc:description>
  <cp:lastModifiedBy>Un-named</cp:lastModifiedBy>
  <cp:revision>1</cp:revision>
  <dcterms:created xsi:type="dcterms:W3CDTF">2026-04-27T16:06:30.343Z</dcterms:created>
  <dcterms:modified xsi:type="dcterms:W3CDTF">2026-04-27T16:06:30.343Z</dcterms:modified>
</cp:coreProperties>
</file>

<file path=docProps/custom.xml><?xml version="1.0" encoding="utf-8"?>
<Properties xmlns="http://schemas.openxmlformats.org/officeDocument/2006/custom-properties" xmlns:vt="http://schemas.openxmlformats.org/officeDocument/2006/docPropsVTypes"/>
</file>