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480" w:line="312" w:lineRule="auto"/>
        <w:jc w:val="center"/>
      </w:pPr>
      <w:r>
        <w:rPr>
          <w:rFonts w:ascii="Cambria" w:cs="Cambria" w:eastAsia="Cambria" w:hAnsi="Cambria"/>
          <w:color w:val="000000"/>
          <w:sz w:val="48"/>
          <w:szCs w:val="48"/>
        </w:rPr>
        <w:t xml:space="preserve">IDENTITY DOCTRINE PACKAGE</w:t>
      </w:r>
    </w:p>
    <w:p>
      <w:pPr>
        <w:spacing w:after="120" w:before="60" w:line="360" w:lineRule="auto"/>
        <w:jc w:val="center"/>
      </w:pPr>
      <w:r>
        <w:rPr>
          <w:rFonts w:ascii="Cambria" w:cs="Cambria" w:eastAsia="Cambria" w:hAnsi="Cambria"/>
          <w:b/>
          <w:bCs/>
          <w:i w:val="false"/>
          <w:iCs w:val="false"/>
          <w:strike w:val="false"/>
          <w:color w:val="000000"/>
          <w:sz w:val="24"/>
          <w:szCs w:val="24"/>
        </w:rPr>
        <w:t xml:space="preserve">Litigation-Ready Artifacts</w:t>
      </w:r>
    </w:p>
    <w:p>
      <w:pPr>
        <w:spacing w:after="60" w:before="60" w:line="360" w:lineRule="auto"/>
        <w:jc w:val="center"/>
      </w:pPr>
      <w:r>
        <w:rPr>
          <w:rFonts w:ascii="Cambria" w:cs="Cambria" w:eastAsia="Cambria" w:hAnsi="Cambria"/>
          <w:b w:val="false"/>
          <w:bCs w:val="false"/>
          <w:i w:val="false"/>
          <w:iCs w:val="false"/>
          <w:strike w:val="false"/>
          <w:color w:val="333333"/>
          <w:sz w:val="24"/>
          <w:szCs w:val="24"/>
        </w:rPr>
        <w:t xml:space="preserve">Hybrid Doctrinal Map • Model Motion • Cross-Examination Script</w:t>
      </w:r>
    </w:p>
    <w:p>
      <w:pPr>
        <w:spacing w:after="60" w:before="60" w:line="360" w:lineRule="auto"/>
        <w:jc w:val="center"/>
      </w:pPr>
      <w:r>
        <w:rPr>
          <w:rFonts w:ascii="Cambria" w:cs="Cambria" w:eastAsia="Cambria" w:hAnsi="Cambria"/>
          <w:b w:val="false"/>
          <w:bCs w:val="false"/>
          <w:i w:val="false"/>
          <w:iCs w:val="false"/>
          <w:strike w:val="false"/>
          <w:color w:val="666666"/>
          <w:sz w:val="24"/>
          <w:szCs w:val="24"/>
        </w:rPr>
        <w:t xml:space="preserve">Prepared April 21, 2026 • For Use in Courts of General Jurisdiction</w:t>
      </w:r>
    </w:p>
    <w:p>
      <w:pPr>
        <w:spacing w:after="60" w:before="60" w:line="360" w:lineRule="auto"/>
        <w:jc w:val="center"/>
      </w:pPr>
      <w:r>
        <w:rPr>
          <w:rFonts w:ascii="Cambria" w:cs="Cambria" w:eastAsia="Cambria" w:hAnsi="Cambria"/>
          <w:b w:val="false"/>
          <w:bCs w:val="false"/>
          <w:i w:val="false"/>
          <w:iCs w:val="false"/>
          <w:strike w:val="false"/>
          <w:color w:val="666666"/>
          <w:sz w:val="24"/>
          <w:szCs w:val="24"/>
        </w:rPr>
        <w:t xml:space="preserve">CONFIDENTIAL — ATTORNEY WORK PRODUCT</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TABLE OF CONTENTS</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PART I</w:t>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Hybrid Doctrinal Map — Identity, Status, and Association</w:t>
            </w:r>
          </w:p>
        </w:tc>
      </w:tr>
      <w:tr>
        <w:trPr>
          <w:tblHeader w:val="false"/>
        </w:trPr>
        <w:tc>
          <w:tcPr>
            <w:tcW w:type="pct" w:w="18%"/>
            <w:tcMar>
              <w:top w:type="dxa" w:w="90"/>
              <w:left w:type="dxa" w:w="120"/>
              <w:bottom w:type="dxa" w:w="90"/>
              <w:right w:type="dxa" w:w="120"/>
            </w:tcMar>
          </w:tcPr>
          <w:p>
            <w:r>
              <w:rPr>
                <w:b w:val="false"/>
                <w:bCs w:val="false"/>
              </w:rPr>
              <w:t xml:space="preserve"/>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Section 1.1 — Foundational Framework</w:t>
            </w:r>
          </w:p>
        </w:tc>
      </w:tr>
      <w:tr>
        <w:trPr>
          <w:tblHeader w:val="false"/>
        </w:trPr>
        <w:tc>
          <w:tcPr>
            <w:tcW w:type="pct" w:w="18%"/>
            <w:tcMar>
              <w:top w:type="dxa" w:w="90"/>
              <w:left w:type="dxa" w:w="120"/>
              <w:bottom w:type="dxa" w:w="90"/>
              <w:right w:type="dxa" w:w="120"/>
            </w:tcMar>
          </w:tcPr>
          <w:p>
            <w:r>
              <w:rPr>
                <w:b w:val="false"/>
                <w:bCs w:val="false"/>
              </w:rPr>
              <w:t xml:space="preserve"/>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Section 1.2 — The Identity–Status Nexus</w:t>
            </w:r>
          </w:p>
        </w:tc>
      </w:tr>
      <w:tr>
        <w:trPr>
          <w:tblHeader w:val="false"/>
        </w:trPr>
        <w:tc>
          <w:tcPr>
            <w:tcW w:type="pct" w:w="18%"/>
            <w:tcMar>
              <w:top w:type="dxa" w:w="90"/>
              <w:left w:type="dxa" w:w="120"/>
              <w:bottom w:type="dxa" w:w="90"/>
              <w:right w:type="dxa" w:w="120"/>
            </w:tcMar>
          </w:tcPr>
          <w:p>
            <w:r>
              <w:rPr>
                <w:b w:val="false"/>
                <w:bCs w:val="false"/>
              </w:rPr>
              <w:t xml:space="preserve"/>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Section 1.3 — The Identity–Association Nexus</w:t>
            </w:r>
          </w:p>
        </w:tc>
      </w:tr>
      <w:tr>
        <w:trPr>
          <w:tblHeader w:val="false"/>
        </w:trPr>
        <w:tc>
          <w:tcPr>
            <w:tcW w:type="pct" w:w="18%"/>
            <w:tcMar>
              <w:top w:type="dxa" w:w="90"/>
              <w:left w:type="dxa" w:w="120"/>
              <w:bottom w:type="dxa" w:w="90"/>
              <w:right w:type="dxa" w:w="120"/>
            </w:tcMar>
          </w:tcPr>
          <w:p>
            <w:r>
              <w:rPr>
                <w:b w:val="false"/>
                <w:bCs w:val="false"/>
              </w:rPr>
              <w:t xml:space="preserve"/>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Section 1.4 — The Status–Association Nexus</w:t>
            </w:r>
          </w:p>
        </w:tc>
      </w:tr>
      <w:tr>
        <w:trPr>
          <w:tblHeader w:val="false"/>
        </w:trPr>
        <w:tc>
          <w:tcPr>
            <w:tcW w:type="pct" w:w="18%"/>
            <w:tcMar>
              <w:top w:type="dxa" w:w="90"/>
              <w:left w:type="dxa" w:w="120"/>
              <w:bottom w:type="dxa" w:w="90"/>
              <w:right w:type="dxa" w:w="120"/>
            </w:tcMar>
          </w:tcPr>
          <w:p>
            <w:r>
              <w:rPr>
                <w:b w:val="false"/>
                <w:bCs w:val="false"/>
              </w:rPr>
              <w:t xml:space="preserve"/>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Section 1.5 — Integrated Doctrinal Map</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PART II</w:t>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Model Motion — Demand for Identity Hearing</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PART III</w:t>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Cross-Examination Script — Challenging Government Identity Presumptions</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APPENDIX A</w:t>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Table of Authorities</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APPENDIX B</w:t>
            </w:r>
          </w:p>
        </w:tc>
        <w:tc>
          <w:tcPr>
            <w:tcW w:type="pct" w:w="8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Glossary of Terms</w:t>
            </w:r>
          </w:p>
        </w:tc>
      </w:tr>
    </w:tbl>
    <w:p>
      <w:pPr>
        <w:spacing w:after="200" w:before="0"/>
      </w:pP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8"/>
          <w:szCs w:val="48"/>
        </w:rPr>
        <w:t xml:space="preserve">PART I</w:t>
      </w:r>
    </w:p>
    <w:p>
      <w:pPr>
        <w:pStyle w:val="Heading2"/>
        <w:spacing w:after="120" w:before="360" w:line="312" w:lineRule="auto"/>
        <w:jc w:val="center"/>
      </w:pPr>
      <w:r>
        <w:rPr>
          <w:rFonts w:ascii="Cambria" w:cs="Cambria" w:eastAsia="Cambria" w:hAnsi="Cambria"/>
          <w:color w:val="000000"/>
          <w:sz w:val="36"/>
          <w:szCs w:val="36"/>
        </w:rPr>
        <w:t xml:space="preserve">HYBRID DOCTRINAL MAP — IDENTITY, STATUS, AND ASSOCIATION</w:t>
      </w:r>
    </w:p>
    <w:p>
      <w:pPr>
        <w:spacing w:after="120" w:before="60" w:line="360" w:lineRule="auto"/>
        <w:jc w:val="center"/>
      </w:pPr>
      <w:r>
        <w:rPr>
          <w:rFonts w:ascii="Cambria" w:cs="Cambria" w:eastAsia="Cambria" w:hAnsi="Cambria"/>
          <w:b w:val="false"/>
          <w:bCs w:val="false"/>
          <w:i/>
          <w:iCs/>
          <w:strike w:val="false"/>
          <w:color w:val="333333"/>
          <w:sz w:val="24"/>
          <w:szCs w:val="24"/>
        </w:rPr>
        <w:t xml:space="preserve">Doctrinal Appendix — Suitable for Attachment to Pleadings</w:t>
      </w:r>
    </w:p>
    <w:p>
      <w:pPr>
        <w:pStyle w:val="Heading2"/>
        <w:spacing w:after="120" w:before="360" w:line="312" w:lineRule="auto"/>
      </w:pPr>
      <w:r>
        <w:rPr>
          <w:rFonts w:ascii="Cambria" w:cs="Cambria" w:eastAsia="Cambria" w:hAnsi="Cambria"/>
          <w:color w:val="000000"/>
          <w:sz w:val="36"/>
          <w:szCs w:val="36"/>
        </w:rPr>
        <w:t xml:space="preserve">Section 1.1 — Foundational Framework</w:t>
      </w:r>
    </w:p>
    <w:p>
      <w:pPr>
        <w:pStyle w:val="Heading3"/>
        <w:spacing w:after="120" w:before="240" w:line="312" w:lineRule="auto"/>
      </w:pPr>
      <w:r>
        <w:rPr>
          <w:rFonts w:ascii="Cambria" w:cs="Cambria" w:eastAsia="Cambria" w:hAnsi="Cambria"/>
          <w:color w:val="000000"/>
          <w:sz w:val="28"/>
          <w:szCs w:val="28"/>
        </w:rPr>
        <w:t xml:space="preserve">A. Identity as a Constitutional Construct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For purposes of this doctrinal analysis, </w:t>
      </w:r>
      <w:r>
        <w:rPr>
          <w:rFonts w:ascii="Cambria" w:cs="Cambria" w:eastAsia="Cambria" w:hAnsi="Cambria"/>
          <w:b/>
          <w:bCs/>
          <w:i w:val="false"/>
          <w:iCs w:val="false"/>
          <w:strike w:val="false"/>
          <w:color w:val="000000"/>
          <w:sz w:val="24"/>
          <w:szCs w:val="24"/>
        </w:rPr>
        <w:t xml:space="preserve">“identity”</w:t>
      </w:r>
      <w:r>
        <w:rPr>
          <w:rFonts w:ascii="Cambria" w:cs="Cambria" w:eastAsia="Cambria" w:hAnsi="Cambria"/>
          <w:b w:val="false"/>
          <w:bCs w:val="false"/>
          <w:i w:val="false"/>
          <w:iCs w:val="false"/>
          <w:strike w:val="false"/>
          <w:color w:val="000000"/>
          <w:sz w:val="24"/>
          <w:szCs w:val="24"/>
        </w:rPr>
        <w:t xml:space="preserve"> refers to the cluster of legal attributes that the government assigns to or presumes about an individual. These attributes include, but are not limited to: a legal name, personhood, legal capacity, citizenship or residency status, and jurisdictional attachment. Together, these attributes form the foundational predicate upon which the government exercises authority over the individual. Without an identity determination, the government lacks a lawful subject upon whom to impose obligations, assert jurisdiction, or enforce compliance.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Identity, so defined, is not merely an administrative label. It is the constitutional gateway through which all subsequent exercises of government power flow. The accuracy and legitimacy of the identity determination is therefore a threshold constitutional question that precedes every other legal inquiry.</w:t>
      </w:r>
    </w:p>
    <w:p>
      <w:pPr>
        <w:pStyle w:val="Heading3"/>
        <w:spacing w:after="120" w:before="240" w:line="312" w:lineRule="auto"/>
      </w:pPr>
      <w:r>
        <w:rPr>
          <w:rFonts w:ascii="Cambria" w:cs="Cambria" w:eastAsia="Cambria" w:hAnsi="Cambria"/>
          <w:color w:val="000000"/>
          <w:sz w:val="28"/>
          <w:szCs w:val="28"/>
        </w:rPr>
        <w:t xml:space="preserve">B. Two Competing Conceptions of Identity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Constitutional law recognizes two fundamentally distinct conceptions of identity, and the tension between them lies at the heart of this doctrinal framework:</w:t>
      </w:r>
    </w:p>
    <w:p>
      <w:pPr>
        <w:spacing w:after="120" w:before="60" w:line="360" w:lineRule="auto"/>
      </w:pPr>
      <w:r>
        <w:rPr>
          <w:rFonts w:ascii="Cambria" w:cs="Cambria" w:eastAsia="Cambria" w:hAnsi="Cambria"/>
          <w:b/>
          <w:bCs/>
          <w:i w:val="false"/>
          <w:iCs w:val="false"/>
          <w:strike w:val="false"/>
          <w:color w:val="000000"/>
          <w:sz w:val="24"/>
          <w:szCs w:val="24"/>
        </w:rPr>
        <w:t xml:space="preserve">1. Identity as Self-Determined (Autonomy-Based).</w:t>
      </w:r>
      <w:r>
        <w:rPr>
          <w:rFonts w:ascii="Cambria" w:cs="Cambria" w:eastAsia="Cambria" w:hAnsi="Cambria"/>
          <w:b w:val="false"/>
          <w:bCs w:val="false"/>
          <w:i w:val="false"/>
          <w:iCs w:val="false"/>
          <w:strike w:val="false"/>
          <w:color w:val="000000"/>
          <w:sz w:val="24"/>
          <w:szCs w:val="24"/>
        </w:rPr>
        <w:t xml:space="preserve"> Under this conception, identity is a function of individual autonomy, rooted in the substantive due process protections of the Fifth and Fourteenth Amendments and the expressive liberty guarantees of the First Amendment. The individual possesses the inherent right to define, express, and control the attributes of their own identity. This conception finds doctrinal support in the Supreme Court’s recognition of personal autonomy as a fundamental liberty interest. </w:t>
      </w:r>
      <w:r>
        <w:rPr>
          <w:rFonts w:ascii="Cambria" w:cs="Cambria" w:eastAsia="Cambria" w:hAnsi="Cambria"/>
          <w:b w:val="false"/>
          <w:bCs w:val="false"/>
          <w:i/>
          <w:iCs/>
          <w:strike w:val="false"/>
          <w:color w:val="000000"/>
          <w:sz w:val="24"/>
          <w:szCs w:val="24"/>
        </w:rPr>
        <w:t xml:space="preserve">See Planned Parenthood of Southeastern Pa. v. Casey</w:t>
      </w:r>
      <w:r>
        <w:rPr>
          <w:rFonts w:ascii="Cambria" w:cs="Cambria" w:eastAsia="Cambria" w:hAnsi="Cambria"/>
          <w:b w:val="false"/>
          <w:bCs w:val="false"/>
          <w:i w:val="false"/>
          <w:iCs w:val="false"/>
          <w:strike w:val="false"/>
          <w:color w:val="000000"/>
          <w:sz w:val="24"/>
          <w:szCs w:val="24"/>
        </w:rPr>
        <w:t xml:space="preserve">, 505 U.S. 833, 851 (1992) (“At the heart of liberty is the right to define one’s own concept of existence, of meaning, of the universe, and of the mystery of human life.”).</w:t>
      </w:r>
    </w:p>
    <w:p>
      <w:pPr>
        <w:spacing w:after="120" w:before="60" w:line="360" w:lineRule="auto"/>
      </w:pPr>
      <w:r>
        <w:rPr>
          <w:rFonts w:ascii="Cambria" w:cs="Cambria" w:eastAsia="Cambria" w:hAnsi="Cambria"/>
          <w:b/>
          <w:bCs/>
          <w:i w:val="false"/>
          <w:iCs w:val="false"/>
          <w:strike w:val="false"/>
          <w:color w:val="000000"/>
          <w:sz w:val="24"/>
          <w:szCs w:val="24"/>
        </w:rPr>
        <w:t xml:space="preserve">2. Identity as State-Assigned (Administrative/Jurisdictional).</w:t>
      </w:r>
      <w:r>
        <w:rPr>
          <w:rFonts w:ascii="Cambria" w:cs="Cambria" w:eastAsia="Cambria" w:hAnsi="Cambria"/>
          <w:b w:val="false"/>
          <w:bCs w:val="false"/>
          <w:i w:val="false"/>
          <w:iCs w:val="false"/>
          <w:strike w:val="false"/>
          <w:color w:val="000000"/>
          <w:sz w:val="24"/>
          <w:szCs w:val="24"/>
        </w:rPr>
        <w:t xml:space="preserve"> Under this conception, identity is a product of government administrative processes—birth registration, issuance of identification numbers, creation of database records—that the government unilaterally performs and subsequently treats as conclusive. The individual is not a participant in this process but its subject. The state assigns the identity and thereafter presumes its accuracy without adjudication.</w:t>
      </w:r>
    </w:p>
    <w:p>
      <w:pPr>
        <w:pStyle w:val="Heading3"/>
        <w:spacing w:after="120" w:before="240" w:line="312" w:lineRule="auto"/>
      </w:pPr>
      <w:r>
        <w:rPr>
          <w:rFonts w:ascii="Cambria" w:cs="Cambria" w:eastAsia="Cambria" w:hAnsi="Cambria"/>
          <w:color w:val="000000"/>
          <w:sz w:val="28"/>
          <w:szCs w:val="28"/>
        </w:rPr>
        <w:t xml:space="preserve">C. The Structural Asymmetry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doctrinal defect at the foundation of the government’s identity framework is a structural asymmetry of constitutional dimension: </w:t>
      </w:r>
      <w:r>
        <w:rPr>
          <w:rFonts w:ascii="Cambria" w:cs="Cambria" w:eastAsia="Cambria" w:hAnsi="Cambria"/>
          <w:b/>
          <w:bCs/>
          <w:i w:val="false"/>
          <w:iCs w:val="false"/>
          <w:strike w:val="false"/>
          <w:color w:val="000000"/>
          <w:sz w:val="24"/>
          <w:szCs w:val="24"/>
        </w:rPr>
        <w:t xml:space="preserve">the government assigns identity unilaterally but demands that the individual disprove it, thereby reversing the constitutional burden.</w:t>
      </w:r>
      <w:r>
        <w:rPr>
          <w:rFonts w:ascii="Cambria" w:cs="Cambria" w:eastAsia="Cambria" w:hAnsi="Cambria"/>
          <w:b w:val="false"/>
          <w:bCs w:val="false"/>
          <w:i w:val="false"/>
          <w:iCs w:val="false"/>
          <w:strike w:val="false"/>
          <w:color w:val="000000"/>
          <w:sz w:val="24"/>
          <w:szCs w:val="24"/>
        </w:rPr>
        <w:t xml:space="preserve"> This inversion violates foundational principles of due process. The party asserting a fact—here, the government asserting the identity of the individual—bears the burden of establishing that fact. Yet in practice, the government presumes identity without hearing, assigns obligations on the basis of that presumption, and then requires the individual to overcome the presumption if challenged. This reversal is constitutionally impermissible.</w:t>
      </w:r>
    </w:p>
    <w:p>
      <w:pPr>
        <w:pStyle w:val="Heading2"/>
        <w:spacing w:after="120" w:before="360" w:line="312" w:lineRule="auto"/>
      </w:pPr>
      <w:r>
        <w:rPr>
          <w:rFonts w:ascii="Cambria" w:cs="Cambria" w:eastAsia="Cambria" w:hAnsi="Cambria"/>
          <w:color w:val="000000"/>
          <w:sz w:val="36"/>
          <w:szCs w:val="36"/>
        </w:rPr>
        <w:t xml:space="preserve">Section 1.2 — The Identity–Status Nexus</w:t>
      </w:r>
    </w:p>
    <w:p>
      <w:pPr>
        <w:pStyle w:val="Heading3"/>
        <w:spacing w:after="120" w:before="240" w:line="312" w:lineRule="auto"/>
      </w:pPr>
      <w:r>
        <w:rPr>
          <w:rFonts w:ascii="Cambria" w:cs="Cambria" w:eastAsia="Cambria" w:hAnsi="Cambria"/>
          <w:color w:val="000000"/>
          <w:sz w:val="28"/>
          <w:szCs w:val="28"/>
        </w:rPr>
        <w:t xml:space="preserve">A. How Identity Presumptions Generate Status Consequences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Once the government presumes an identity, it automatically attaches a constellation of status consequences to that identity without independent adjudication of each status component. The doctrinal chain operates as follows:</w:t>
      </w:r>
    </w:p>
    <w:p>
      <w:pPr>
        <w:spacing w:after="120" w:before="60" w:line="360" w:lineRule="auto"/>
      </w:pPr>
      <w:r>
        <w:rPr>
          <w:rFonts w:ascii="Cambria" w:cs="Cambria" w:eastAsia="Cambria" w:hAnsi="Cambria"/>
          <w:b/>
          <w:bCs/>
          <w:i w:val="false"/>
          <w:iCs w:val="false"/>
          <w:strike w:val="false"/>
          <w:color w:val="000000"/>
          <w:sz w:val="24"/>
          <w:szCs w:val="24"/>
        </w:rPr>
        <w:t xml:space="preserve">Step 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Identity Presumption:</w:t>
      </w:r>
      <w:r>
        <w:rPr>
          <w:rFonts w:ascii="Cambria" w:cs="Cambria" w:eastAsia="Cambria" w:hAnsi="Cambria"/>
          <w:b w:val="false"/>
          <w:bCs w:val="false"/>
          <w:i w:val="false"/>
          <w:iCs w:val="false"/>
          <w:strike w:val="false"/>
          <w:color w:val="000000"/>
          <w:sz w:val="24"/>
          <w:szCs w:val="24"/>
        </w:rPr>
        <w:t xml:space="preserve"> The government creates or presumes a legal identity for the individual (e.g., through birth registration).</w:t>
      </w:r>
    </w:p>
    <w:p>
      <w:pPr>
        <w:spacing w:after="120" w:before="60" w:line="360" w:lineRule="auto"/>
      </w:pPr>
      <w:r>
        <w:rPr>
          <w:rFonts w:ascii="Cambria" w:cs="Cambria" w:eastAsia="Cambria" w:hAnsi="Cambria"/>
          <w:b/>
          <w:bCs/>
          <w:i w:val="false"/>
          <w:iCs w:val="false"/>
          <w:strike w:val="false"/>
          <w:color w:val="000000"/>
          <w:sz w:val="24"/>
          <w:szCs w:val="24"/>
        </w:rPr>
        <w:t xml:space="preserve">Step 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Status Assignment:</w:t>
      </w:r>
      <w:r>
        <w:rPr>
          <w:rFonts w:ascii="Cambria" w:cs="Cambria" w:eastAsia="Cambria" w:hAnsi="Cambria"/>
          <w:b w:val="false"/>
          <w:bCs w:val="false"/>
          <w:i w:val="false"/>
          <w:iCs w:val="false"/>
          <w:strike w:val="false"/>
          <w:color w:val="000000"/>
          <w:sz w:val="24"/>
          <w:szCs w:val="24"/>
        </w:rPr>
        <w:t xml:space="preserve"> The government attaches status categories to that identity (citizen, resident, taxpayer, licensee, registrant).</w:t>
      </w:r>
    </w:p>
    <w:p>
      <w:pPr>
        <w:spacing w:after="120" w:before="60" w:line="360" w:lineRule="auto"/>
      </w:pPr>
      <w:r>
        <w:rPr>
          <w:rFonts w:ascii="Cambria" w:cs="Cambria" w:eastAsia="Cambria" w:hAnsi="Cambria"/>
          <w:b/>
          <w:bCs/>
          <w:i w:val="false"/>
          <w:iCs w:val="false"/>
          <w:strike w:val="false"/>
          <w:color w:val="000000"/>
          <w:sz w:val="24"/>
          <w:szCs w:val="24"/>
        </w:rPr>
        <w:t xml:space="preserve">Step 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Obligation Enforcement:</w:t>
      </w:r>
      <w:r>
        <w:rPr>
          <w:rFonts w:ascii="Cambria" w:cs="Cambria" w:eastAsia="Cambria" w:hAnsi="Cambria"/>
          <w:b w:val="false"/>
          <w:bCs w:val="false"/>
          <w:i w:val="false"/>
          <w:iCs w:val="false"/>
          <w:strike w:val="false"/>
          <w:color w:val="000000"/>
          <w:sz w:val="24"/>
          <w:szCs w:val="24"/>
        </w:rPr>
        <w:t xml:space="preserve"> The government enforces obligations attendant to the assigned status (tax liability, jurisdictional submission, regulatory compliance).</w:t>
      </w:r>
    </w:p>
    <w:p>
      <w:pPr>
        <w:spacing w:after="120" w:before="60" w:line="360" w:lineRule="auto"/>
      </w:pPr>
      <w:r>
        <w:rPr>
          <w:rFonts w:ascii="Cambria" w:cs="Cambria" w:eastAsia="Cambria" w:hAnsi="Cambria"/>
          <w:b/>
          <w:bCs/>
          <w:i w:val="false"/>
          <w:iCs w:val="false"/>
          <w:strike w:val="false"/>
          <w:color w:val="000000"/>
          <w:sz w:val="24"/>
          <w:szCs w:val="24"/>
        </w:rPr>
        <w:t xml:space="preserve">Step 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Liberty Deprivation:</w:t>
      </w:r>
      <w:r>
        <w:rPr>
          <w:rFonts w:ascii="Cambria" w:cs="Cambria" w:eastAsia="Cambria" w:hAnsi="Cambria"/>
          <w:b w:val="false"/>
          <w:bCs w:val="false"/>
          <w:i w:val="false"/>
          <w:iCs w:val="false"/>
          <w:strike w:val="false"/>
          <w:color w:val="000000"/>
          <w:sz w:val="24"/>
          <w:szCs w:val="24"/>
        </w:rPr>
        <w:t xml:space="preserve"> Noncompliance with the obligations triggers enforcement actions—penalties, liens, prosecution, incarceration—constituting deprivation of liberty and property.</w:t>
      </w:r>
    </w:p>
    <w:p>
      <w:pPr>
        <w:pStyle w:val="Heading3"/>
        <w:spacing w:after="120" w:before="240" w:line="312" w:lineRule="auto"/>
      </w:pPr>
      <w:r>
        <w:rPr>
          <w:rFonts w:ascii="Cambria" w:cs="Cambria" w:eastAsia="Cambria" w:hAnsi="Cambria"/>
          <w:color w:val="000000"/>
          <w:sz w:val="28"/>
          <w:szCs w:val="28"/>
        </w:rPr>
        <w:t xml:space="preserve">B. Due Process Requirements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Due Process Clauses of the Fifth and Fourteenth Amendments prohibit the government from depriving any person of life, liberty, or property without due process of law. The Supreme Court has established clear doctrinal standards governing when and how process is due:</w:t>
      </w:r>
    </w:p>
    <w:p>
      <w:pPr>
        <w:spacing w:after="120" w:before="60" w:line="360" w:lineRule="auto"/>
      </w:pPr>
      <w:r>
        <w:rPr>
          <w:rFonts w:ascii="Cambria" w:cs="Cambria" w:eastAsia="Cambria" w:hAnsi="Cambria"/>
          <w:b/>
          <w:bCs/>
          <w:i/>
          <w:iCs/>
          <w:strike w:val="false"/>
          <w:color w:val="000000"/>
          <w:sz w:val="24"/>
          <w:szCs w:val="24"/>
        </w:rPr>
        <w:t xml:space="preserve">Mathews v. Eldridge</w:t>
      </w:r>
      <w:r>
        <w:rPr>
          <w:rFonts w:ascii="Cambria" w:cs="Cambria" w:eastAsia="Cambria" w:hAnsi="Cambria"/>
          <w:b/>
          <w:bCs/>
          <w:i w:val="false"/>
          <w:iCs w:val="false"/>
          <w:strike w:val="false"/>
          <w:color w:val="000000"/>
          <w:sz w:val="24"/>
          <w:szCs w:val="24"/>
        </w:rPr>
        <w:t xml:space="preserve">, 424 U.S. 319 (1976):</w:t>
      </w:r>
      <w:r>
        <w:rPr>
          <w:rFonts w:ascii="Cambria" w:cs="Cambria" w:eastAsia="Cambria" w:hAnsi="Cambria"/>
          <w:b w:val="false"/>
          <w:bCs w:val="false"/>
          <w:i w:val="false"/>
          <w:iCs w:val="false"/>
          <w:strike w:val="false"/>
          <w:color w:val="000000"/>
          <w:sz w:val="24"/>
          <w:szCs w:val="24"/>
        </w:rPr>
        <w:t xml:space="preserve"> The Court established a three-factor balancing test for determining what process is due: (1) the private interest affected by the official action; (2) the risk of erroneous deprivation through the procedures used and the probable value of additional safeguards; and (3) the government’s interest, including the fiscal and administrative burdens of additional process. Applied to identity determinations, each factor weighs heavily in favor of requiring a hearing: the private interest (all subsequent obligations flow from identity) is maximal; the risk of erroneous deprivation (identity is presumed without any process) is absolute; and the government’s burden (a single hearing to establish identity) is minimal.</w:t>
      </w:r>
    </w:p>
    <w:p>
      <w:pPr>
        <w:spacing w:after="120" w:before="60" w:line="360" w:lineRule="auto"/>
      </w:pPr>
      <w:r>
        <w:rPr>
          <w:rFonts w:ascii="Cambria" w:cs="Cambria" w:eastAsia="Cambria" w:hAnsi="Cambria"/>
          <w:b/>
          <w:bCs/>
          <w:i/>
          <w:iCs/>
          <w:strike w:val="false"/>
          <w:color w:val="000000"/>
          <w:sz w:val="24"/>
          <w:szCs w:val="24"/>
        </w:rPr>
        <w:t xml:space="preserve">Goldberg v. Kelly</w:t>
      </w:r>
      <w:r>
        <w:rPr>
          <w:rFonts w:ascii="Cambria" w:cs="Cambria" w:eastAsia="Cambria" w:hAnsi="Cambria"/>
          <w:b/>
          <w:bCs/>
          <w:i w:val="false"/>
          <w:iCs w:val="false"/>
          <w:strike w:val="false"/>
          <w:color w:val="000000"/>
          <w:sz w:val="24"/>
          <w:szCs w:val="24"/>
        </w:rPr>
        <w:t xml:space="preserve">, 397 U.S. 254 (1970):</w:t>
      </w:r>
      <w:r>
        <w:rPr>
          <w:rFonts w:ascii="Cambria" w:cs="Cambria" w:eastAsia="Cambria" w:hAnsi="Cambria"/>
          <w:b w:val="false"/>
          <w:bCs w:val="false"/>
          <w:i w:val="false"/>
          <w:iCs w:val="false"/>
          <w:strike w:val="false"/>
          <w:color w:val="000000"/>
          <w:sz w:val="24"/>
          <w:szCs w:val="24"/>
        </w:rPr>
        <w:t xml:space="preserve"> The Court held that a protected interest cannot be terminated without prior notice and an opportunity to be heard. By analogy, if a status or entitlement cannot be </w:t>
      </w:r>
      <w:r>
        <w:rPr>
          <w:rFonts w:ascii="Cambria" w:cs="Cambria" w:eastAsia="Cambria" w:hAnsi="Cambria"/>
          <w:b w:val="false"/>
          <w:bCs w:val="false"/>
          <w:i/>
          <w:iCs/>
          <w:strike w:val="false"/>
          <w:color w:val="000000"/>
          <w:sz w:val="24"/>
          <w:szCs w:val="24"/>
        </w:rPr>
        <w:t xml:space="preserve">removed</w:t>
      </w:r>
      <w:r>
        <w:rPr>
          <w:rFonts w:ascii="Cambria" w:cs="Cambria" w:eastAsia="Cambria" w:hAnsi="Cambria"/>
          <w:b w:val="false"/>
          <w:bCs w:val="false"/>
          <w:i w:val="false"/>
          <w:iCs w:val="false"/>
          <w:strike w:val="false"/>
          <w:color w:val="000000"/>
          <w:sz w:val="24"/>
          <w:szCs w:val="24"/>
        </w:rPr>
        <w:t xml:space="preserve"> without process, then a fortiori a status and its attendant obligations cannot be </w:t>
      </w:r>
      <w:r>
        <w:rPr>
          <w:rFonts w:ascii="Cambria" w:cs="Cambria" w:eastAsia="Cambria" w:hAnsi="Cambria"/>
          <w:b w:val="false"/>
          <w:bCs w:val="false"/>
          <w:i/>
          <w:iCs/>
          <w:strike w:val="false"/>
          <w:color w:val="000000"/>
          <w:sz w:val="24"/>
          <w:szCs w:val="24"/>
        </w:rPr>
        <w:t xml:space="preserve">imposed</w:t>
      </w:r>
      <w:r>
        <w:rPr>
          <w:rFonts w:ascii="Cambria" w:cs="Cambria" w:eastAsia="Cambria" w:hAnsi="Cambria"/>
          <w:b w:val="false"/>
          <w:bCs w:val="false"/>
          <w:i w:val="false"/>
          <w:iCs w:val="false"/>
          <w:strike w:val="false"/>
          <w:color w:val="000000"/>
          <w:sz w:val="24"/>
          <w:szCs w:val="24"/>
        </w:rPr>
        <w:t xml:space="preserve"> without process.</w:t>
      </w:r>
    </w:p>
    <w:p>
      <w:pPr>
        <w:spacing w:after="120" w:before="60" w:line="360" w:lineRule="auto"/>
      </w:pPr>
      <w:r>
        <w:rPr>
          <w:rFonts w:ascii="Cambria" w:cs="Cambria" w:eastAsia="Cambria" w:hAnsi="Cambria"/>
          <w:b/>
          <w:bCs/>
          <w:i/>
          <w:iCs/>
          <w:strike w:val="false"/>
          <w:color w:val="000000"/>
          <w:sz w:val="24"/>
          <w:szCs w:val="24"/>
        </w:rPr>
        <w:t xml:space="preserve">Cleveland Board of Education v. Loudermill</w:t>
      </w:r>
      <w:r>
        <w:rPr>
          <w:rFonts w:ascii="Cambria" w:cs="Cambria" w:eastAsia="Cambria" w:hAnsi="Cambria"/>
          <w:b/>
          <w:bCs/>
          <w:i w:val="false"/>
          <w:iCs w:val="false"/>
          <w:strike w:val="false"/>
          <w:color w:val="000000"/>
          <w:sz w:val="24"/>
          <w:szCs w:val="24"/>
        </w:rPr>
        <w:t xml:space="preserve">, 470 U.S. 532 (1985):</w:t>
      </w:r>
      <w:r>
        <w:rPr>
          <w:rFonts w:ascii="Cambria" w:cs="Cambria" w:eastAsia="Cambria" w:hAnsi="Cambria"/>
          <w:b w:val="false"/>
          <w:bCs w:val="false"/>
          <w:i w:val="false"/>
          <w:iCs w:val="false"/>
          <w:strike w:val="false"/>
          <w:color w:val="000000"/>
          <w:sz w:val="24"/>
          <w:szCs w:val="24"/>
        </w:rPr>
        <w:t xml:space="preserve"> The Court reaffirmed that the Constitution requires “some form of hearing” before the government deprives an individual of a protected interest. The nature of the required process is determined by the weight of the interest at stake. Identity, as the predicate for all government-imposed obligations, constitutes the weightiest of protected interests.</w:t>
      </w:r>
    </w:p>
    <w:p>
      <w:pPr>
        <w:pStyle w:val="Heading3"/>
        <w:spacing w:after="120" w:before="240" w:line="312" w:lineRule="auto"/>
      </w:pPr>
      <w:r>
        <w:rPr>
          <w:rFonts w:ascii="Cambria" w:cs="Cambria" w:eastAsia="Cambria" w:hAnsi="Cambria"/>
          <w:color w:val="000000"/>
          <w:sz w:val="28"/>
          <w:szCs w:val="28"/>
        </w:rPr>
        <w:t xml:space="preserve">C. The Doctrinal Gap</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Identity presumptions bypass this entire framework. No hearing is held. No notice is given. No opportunity to contest the identity determination is provided before obligations attach. The government proceeds directly from presumption to enforcement, collapsing the constitutionally required procedural safeguards into a nullity.</w:t>
      </w:r>
    </w:p>
    <w:p>
      <w:pPr>
        <w:pStyle w:val="Heading2"/>
        <w:spacing w:after="120" w:before="360" w:line="312" w:lineRule="auto"/>
      </w:pPr>
      <w:r>
        <w:rPr>
          <w:rFonts w:ascii="Cambria" w:cs="Cambria" w:eastAsia="Cambria" w:hAnsi="Cambria"/>
          <w:color w:val="000000"/>
          <w:sz w:val="36"/>
          <w:szCs w:val="36"/>
        </w:rPr>
        <w:t xml:space="preserve">Section 1.3 — The Identity–Association Nexus</w:t>
      </w:r>
    </w:p>
    <w:p>
      <w:pPr>
        <w:pStyle w:val="Heading3"/>
        <w:spacing w:after="120" w:before="240" w:line="312" w:lineRule="auto"/>
      </w:pPr>
      <w:r>
        <w:rPr>
          <w:rFonts w:ascii="Cambria" w:cs="Cambria" w:eastAsia="Cambria" w:hAnsi="Cambria"/>
          <w:color w:val="000000"/>
          <w:sz w:val="28"/>
          <w:szCs w:val="28"/>
        </w:rPr>
        <w:t xml:space="preserve">A. Compelled Association Through Identity Assignment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First Amendment protects not only the right to associate freely but also the right </w:t>
      </w:r>
      <w:r>
        <w:rPr>
          <w:rFonts w:ascii="Cambria" w:cs="Cambria" w:eastAsia="Cambria" w:hAnsi="Cambria"/>
          <w:b w:val="false"/>
          <w:bCs w:val="false"/>
          <w:i/>
          <w:iCs/>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to associate. Government identity assignments force individuals into compelled associations—citizenship obligations, jurisdictional memberships, regulatory bodies, taxing authorities—without the individual’s informed, voluntary consent.</w:t>
      </w:r>
    </w:p>
    <w:p>
      <w:pPr>
        <w:pStyle w:val="Heading3"/>
        <w:spacing w:after="120" w:before="240" w:line="312" w:lineRule="auto"/>
      </w:pPr>
      <w:r>
        <w:rPr>
          <w:rFonts w:ascii="Cambria" w:cs="Cambria" w:eastAsia="Cambria" w:hAnsi="Cambria"/>
          <w:color w:val="000000"/>
          <w:sz w:val="28"/>
          <w:szCs w:val="28"/>
        </w:rPr>
        <w:t xml:space="preserve">B. Controlling Authorities</w:t>
      </w:r>
    </w:p>
    <w:p>
      <w:pPr>
        <w:spacing w:after="120" w:before="60" w:line="360" w:lineRule="auto"/>
      </w:pPr>
      <w:r>
        <w:rPr>
          <w:rFonts w:ascii="Cambria" w:cs="Cambria" w:eastAsia="Cambria" w:hAnsi="Cambria"/>
          <w:b/>
          <w:bCs/>
          <w:i/>
          <w:iCs/>
          <w:strike w:val="false"/>
          <w:color w:val="000000"/>
          <w:sz w:val="24"/>
          <w:szCs w:val="24"/>
        </w:rPr>
        <w:t xml:space="preserve">NAACP v. Alabama ex rel. Patterson</w:t>
      </w:r>
      <w:r>
        <w:rPr>
          <w:rFonts w:ascii="Cambria" w:cs="Cambria" w:eastAsia="Cambria" w:hAnsi="Cambria"/>
          <w:b/>
          <w:bCs/>
          <w:i w:val="false"/>
          <w:iCs w:val="false"/>
          <w:strike w:val="false"/>
          <w:color w:val="000000"/>
          <w:sz w:val="24"/>
          <w:szCs w:val="24"/>
        </w:rPr>
        <w:t xml:space="preserve">, 357 U.S. 449 (1958):</w:t>
      </w:r>
      <w:r>
        <w:rPr>
          <w:rFonts w:ascii="Cambria" w:cs="Cambria" w:eastAsia="Cambria" w:hAnsi="Cambria"/>
          <w:b w:val="false"/>
          <w:bCs w:val="false"/>
          <w:i w:val="false"/>
          <w:iCs w:val="false"/>
          <w:strike w:val="false"/>
          <w:color w:val="000000"/>
          <w:sz w:val="24"/>
          <w:szCs w:val="24"/>
        </w:rPr>
        <w:t xml:space="preserve"> The Court recognized that compelled disclosure of associational ties can constitute an unconstitutional restraint on freedom of association. The principle extends to compelled association itself: the government cannot force an individual into an associational relationship without constitutional justification.</w:t>
      </w:r>
    </w:p>
    <w:p>
      <w:pPr>
        <w:spacing w:after="120" w:before="60" w:line="360" w:lineRule="auto"/>
      </w:pPr>
      <w:r>
        <w:rPr>
          <w:rFonts w:ascii="Cambria" w:cs="Cambria" w:eastAsia="Cambria" w:hAnsi="Cambria"/>
          <w:b/>
          <w:bCs/>
          <w:i/>
          <w:iCs/>
          <w:strike w:val="false"/>
          <w:color w:val="000000"/>
          <w:sz w:val="24"/>
          <w:szCs w:val="24"/>
        </w:rPr>
        <w:t xml:space="preserve">Roberts v. United States Jaycees</w:t>
      </w:r>
      <w:r>
        <w:rPr>
          <w:rFonts w:ascii="Cambria" w:cs="Cambria" w:eastAsia="Cambria" w:hAnsi="Cambria"/>
          <w:b/>
          <w:bCs/>
          <w:i w:val="false"/>
          <w:iCs w:val="false"/>
          <w:strike w:val="false"/>
          <w:color w:val="000000"/>
          <w:sz w:val="24"/>
          <w:szCs w:val="24"/>
        </w:rPr>
        <w:t xml:space="preserve">, 468 U.S. 609 (1984):</w:t>
      </w:r>
      <w:r>
        <w:rPr>
          <w:rFonts w:ascii="Cambria" w:cs="Cambria" w:eastAsia="Cambria" w:hAnsi="Cambria"/>
          <w:b w:val="false"/>
          <w:bCs w:val="false"/>
          <w:i w:val="false"/>
          <w:iCs w:val="false"/>
          <w:strike w:val="false"/>
          <w:color w:val="000000"/>
          <w:sz w:val="24"/>
          <w:szCs w:val="24"/>
        </w:rPr>
        <w:t xml:space="preserve"> The Court acknowledged that freedom of association encompasses both intimate association and expressive association, and that government interference with either form requires constitutional scrutiny. Forced identity-to-association pipelines implicate both dimensions: they compel intimate association (membership in a political community) and expressive association (obligations to participate in government regulatory frameworks).</w:t>
      </w:r>
    </w:p>
    <w:p>
      <w:pPr>
        <w:spacing w:after="120" w:before="60" w:line="360" w:lineRule="auto"/>
      </w:pPr>
      <w:r>
        <w:rPr>
          <w:rFonts w:ascii="Cambria" w:cs="Cambria" w:eastAsia="Cambria" w:hAnsi="Cambria"/>
          <w:b/>
          <w:bCs/>
          <w:i/>
          <w:iCs/>
          <w:strike w:val="false"/>
          <w:color w:val="000000"/>
          <w:sz w:val="24"/>
          <w:szCs w:val="24"/>
        </w:rPr>
        <w:t xml:space="preserve">Boy Scouts of America v. Dale</w:t>
      </w:r>
      <w:r>
        <w:rPr>
          <w:rFonts w:ascii="Cambria" w:cs="Cambria" w:eastAsia="Cambria" w:hAnsi="Cambria"/>
          <w:b/>
          <w:bCs/>
          <w:i w:val="false"/>
          <w:iCs w:val="false"/>
          <w:strike w:val="false"/>
          <w:color w:val="000000"/>
          <w:sz w:val="24"/>
          <w:szCs w:val="24"/>
        </w:rPr>
        <w:t xml:space="preserve">, 530 U.S. 640 (2000):</w:t>
      </w:r>
      <w:r>
        <w:rPr>
          <w:rFonts w:ascii="Cambria" w:cs="Cambria" w:eastAsia="Cambria" w:hAnsi="Cambria"/>
          <w:b w:val="false"/>
          <w:bCs w:val="false"/>
          <w:i w:val="false"/>
          <w:iCs w:val="false"/>
          <w:strike w:val="false"/>
          <w:color w:val="000000"/>
          <w:sz w:val="24"/>
          <w:szCs w:val="24"/>
        </w:rPr>
        <w:t xml:space="preserve"> The Court held that the First Amendment protects an organization’s right to exclude persons whose inclusion would affect the group’s message or identity. The reciprocal principle applies to individuals: a person cannot be forcibly included in a government-defined associational structure that conflicts with their self-determined identity or beliefs.</w:t>
      </w:r>
    </w:p>
    <w:p>
      <w:pPr>
        <w:pStyle w:val="Heading3"/>
        <w:spacing w:after="120" w:before="240" w:line="312" w:lineRule="auto"/>
      </w:pPr>
      <w:r>
        <w:rPr>
          <w:rFonts w:ascii="Cambria" w:cs="Cambria" w:eastAsia="Cambria" w:hAnsi="Cambria"/>
          <w:color w:val="000000"/>
          <w:sz w:val="28"/>
          <w:szCs w:val="28"/>
        </w:rPr>
        <w:t xml:space="preserve">C. The Forced Pipeline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identity-to-association pipeline operates as follows: the government assigns an identity → that identity automatically enrolls the individual in associational structures (citizenship, tax systems, regulatory frameworks) → the individual is compelled to participate in, fund, and comply with those structures → refusal is punished. At no point in this chain does the government obtain or verify the individual’s consent. This constitutes compelled association in violation of the First Amendment.</w:t>
      </w:r>
    </w:p>
    <w:p>
      <w:pPr>
        <w:pStyle w:val="Heading2"/>
        <w:spacing w:after="120" w:before="360" w:line="312" w:lineRule="auto"/>
      </w:pPr>
      <w:r>
        <w:rPr>
          <w:rFonts w:ascii="Cambria" w:cs="Cambria" w:eastAsia="Cambria" w:hAnsi="Cambria"/>
          <w:color w:val="000000"/>
          <w:sz w:val="36"/>
          <w:szCs w:val="36"/>
        </w:rPr>
        <w:t xml:space="preserve">Section 1.4 — The Status–Association Nexus</w:t>
      </w:r>
    </w:p>
    <w:p>
      <w:pPr>
        <w:pStyle w:val="Heading3"/>
        <w:spacing w:after="120" w:before="240" w:line="312" w:lineRule="auto"/>
      </w:pPr>
      <w:r>
        <w:rPr>
          <w:rFonts w:ascii="Cambria" w:cs="Cambria" w:eastAsia="Cambria" w:hAnsi="Cambria"/>
          <w:color w:val="000000"/>
          <w:sz w:val="28"/>
          <w:szCs w:val="28"/>
        </w:rPr>
        <w:t xml:space="preserve">A. Status Categories as Compelled Memberships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Government-assigned status categories—citizen, resident, taxpayer, licensee, registrant—function as compelled associational memberships. Each status category carries mandatory participation requirements, financial obligations, and behavioral constraints. The individual does not apply for these memberships, does not consent to them, and cannot withdraw from them without government permission (if at all). They are, in substance, compulsory associations imposed through the mechanism of identity presumption.</w:t>
      </w:r>
    </w:p>
    <w:p>
      <w:pPr>
        <w:pStyle w:val="Heading3"/>
        <w:spacing w:after="120" w:before="240" w:line="312" w:lineRule="auto"/>
      </w:pPr>
      <w:r>
        <w:rPr>
          <w:rFonts w:ascii="Cambria" w:cs="Cambria" w:eastAsia="Cambria" w:hAnsi="Cambria"/>
          <w:color w:val="000000"/>
          <w:sz w:val="28"/>
          <w:szCs w:val="28"/>
        </w:rPr>
        <w:t xml:space="preserve">B. The Constitutional Prohibition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government cannot lawfully: (1) create a status category; (2) force an individual into that category via an unverified identity presumption; and (3) enforce associational obligations attached to that category—all without ever holding a hearing to determine whether the identity assignment is accurate or whether the individual consents to the status and its attendant obligations. To permit this sequence is to permit the government to manufacture jurisdiction, obligation, and compliance through administrative fiat, unchecked by any constitutional process.</w:t>
      </w:r>
    </w:p>
    <w:p>
      <w:pPr>
        <w:pStyle w:val="Heading2"/>
        <w:spacing w:after="120" w:before="360" w:line="312" w:lineRule="auto"/>
      </w:pPr>
      <w:r>
        <w:rPr>
          <w:rFonts w:ascii="Cambria" w:cs="Cambria" w:eastAsia="Cambria" w:hAnsi="Cambria"/>
          <w:color w:val="000000"/>
          <w:sz w:val="36"/>
          <w:szCs w:val="36"/>
        </w:rPr>
        <w:t xml:space="preserve">Section 1.5 — Integrated Doctrinal Map</w:t>
      </w:r>
    </w:p>
    <w:p>
      <w:pPr>
        <w:pStyle w:val="Heading3"/>
        <w:spacing w:after="120" w:before="240" w:line="312" w:lineRule="auto"/>
      </w:pPr>
      <w:r>
        <w:rPr>
          <w:rFonts w:ascii="Cambria" w:cs="Cambria" w:eastAsia="Cambria" w:hAnsi="Cambria"/>
          <w:color w:val="000000"/>
          <w:sz w:val="28"/>
          <w:szCs w:val="28"/>
        </w:rPr>
        <w:t xml:space="preserve">Table 1: Triadic Doctrinal Framework</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Doctrinal Dimension</w:t>
            </w:r>
          </w:p>
        </w:tc>
        <w:tc>
          <w:tcPr>
            <w:tcW w:type="pct" w:w="2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Government Action</w:t>
            </w:r>
          </w:p>
        </w:tc>
        <w:tc>
          <w:tcPr>
            <w:tcW w:type="pct" w:w="2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Constitutional Violation</w:t>
            </w:r>
          </w:p>
        </w:tc>
        <w:tc>
          <w:tcPr>
            <w:tcW w:type="pct" w:w="2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Required Remedy</w:t>
            </w:r>
          </w:p>
        </w:tc>
        <w:tc>
          <w:tcPr>
            <w:tcW w:type="pct" w:w="2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Cases</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Identity</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Unilateral presumption of legal identity without hearing or consent</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Substantive &amp; procedural due process (5th &amp; 14th Amendments); First Amendment expressive liberty</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Mandatory evidentiary hearing before identity may be presumed; burden of proof on government</w:t>
            </w:r>
          </w:p>
        </w:tc>
        <w:tc>
          <w:tcPr>
            <w:tcW w:type="pct" w:w="20%"/>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(1976); </w:t>
            </w:r>
            <w:r>
              <w:rPr>
                <w:rFonts w:ascii="Cambria" w:cs="Cambria" w:eastAsia="Cambria" w:hAnsi="Cambria"/>
                <w:b w:val="false"/>
                <w:bCs w:val="false"/>
                <w:i/>
                <w:iCs/>
                <w:strike w:val="false"/>
                <w:color w:val="000000"/>
                <w:sz w:val="24"/>
                <w:szCs w:val="24"/>
              </w:rPr>
              <w:t xml:space="preserve">Casey</w:t>
            </w:r>
            <w:r>
              <w:rPr>
                <w:rFonts w:ascii="Cambria" w:cs="Cambria" w:eastAsia="Cambria" w:hAnsi="Cambria"/>
                <w:b w:val="false"/>
                <w:bCs w:val="false"/>
                <w:i w:val="false"/>
                <w:iCs w:val="false"/>
                <w:strike w:val="false"/>
                <w:color w:val="000000"/>
                <w:sz w:val="24"/>
                <w:szCs w:val="24"/>
              </w:rPr>
              <w:t xml:space="preserve"> (1992); </w:t>
            </w:r>
            <w:r>
              <w:rPr>
                <w:rFonts w:ascii="Cambria" w:cs="Cambria" w:eastAsia="Cambria" w:hAnsi="Cambria"/>
                <w:b w:val="false"/>
                <w:bCs w:val="false"/>
                <w:i/>
                <w:iCs/>
                <w:strike w:val="false"/>
                <w:color w:val="000000"/>
                <w:sz w:val="24"/>
                <w:szCs w:val="24"/>
              </w:rPr>
              <w:t xml:space="preserve">Loudermill</w:t>
            </w:r>
            <w:r>
              <w:rPr>
                <w:rFonts w:ascii="Cambria" w:cs="Cambria" w:eastAsia="Cambria" w:hAnsi="Cambria"/>
                <w:b w:val="false"/>
                <w:bCs w:val="false"/>
                <w:i w:val="false"/>
                <w:iCs w:val="false"/>
                <w:strike w:val="false"/>
                <w:color w:val="000000"/>
                <w:sz w:val="24"/>
                <w:szCs w:val="24"/>
              </w:rPr>
              <w:t xml:space="preserve"> (1985)</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Status</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Assignment of status categories (citizen, taxpayer, licensee) based on presumed identity</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Procedural due process (deprivation without hearing); equal protection (arbitrary classification)</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Independent adjudication of each status component; notice and opportunity to be heard before obligations attach</w:t>
            </w:r>
          </w:p>
        </w:tc>
        <w:tc>
          <w:tcPr>
            <w:tcW w:type="pct" w:w="20%"/>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Goldberg v. Kelly</w:t>
            </w:r>
            <w:r>
              <w:rPr>
                <w:rFonts w:ascii="Cambria" w:cs="Cambria" w:eastAsia="Cambria" w:hAnsi="Cambria"/>
                <w:b w:val="false"/>
                <w:bCs w:val="false"/>
                <w:i w:val="false"/>
                <w:iCs w:val="false"/>
                <w:strike w:val="false"/>
                <w:color w:val="000000"/>
                <w:sz w:val="24"/>
                <w:szCs w:val="24"/>
              </w:rPr>
              <w:t xml:space="preserve"> (1970); </w:t>
            </w:r>
            <w:r>
              <w:rPr>
                <w:rFonts w:ascii="Cambria" w:cs="Cambria" w:eastAsia="Cambria" w:hAnsi="Cambria"/>
                <w:b w:val="false"/>
                <w:bCs w:val="false"/>
                <w:i/>
                <w:iCs/>
                <w:strike w:val="false"/>
                <w:color w:val="000000"/>
                <w:sz w:val="24"/>
                <w:szCs w:val="24"/>
              </w:rPr>
              <w:t xml:space="preserve">Loudermill</w:t>
            </w:r>
            <w:r>
              <w:rPr>
                <w:rFonts w:ascii="Cambria" w:cs="Cambria" w:eastAsia="Cambria" w:hAnsi="Cambria"/>
                <w:b w:val="false"/>
                <w:bCs w:val="false"/>
                <w:i w:val="false"/>
                <w:iCs w:val="false"/>
                <w:strike w:val="false"/>
                <w:color w:val="000000"/>
                <w:sz w:val="24"/>
                <w:szCs w:val="24"/>
              </w:rPr>
              <w:t xml:space="preserve"> (1985);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(1976)</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Association</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Compulsory enrollment in government associational structures (tax systems, regulatory bodies, jurisdictions)</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First Amendment freedom of association; right not to associate; compelled speech/participation</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Informed, voluntary consent required before associational obligations may be imposed; opt-out mechanism</w:t>
            </w:r>
          </w:p>
        </w:tc>
        <w:tc>
          <w:tcPr>
            <w:tcW w:type="pct" w:w="20%"/>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NAACP v. Alabama</w:t>
            </w:r>
            <w:r>
              <w:rPr>
                <w:rFonts w:ascii="Cambria" w:cs="Cambria" w:eastAsia="Cambria" w:hAnsi="Cambria"/>
                <w:b w:val="false"/>
                <w:bCs w:val="false"/>
                <w:i w:val="false"/>
                <w:iCs w:val="false"/>
                <w:strike w:val="false"/>
                <w:color w:val="000000"/>
                <w:sz w:val="24"/>
                <w:szCs w:val="24"/>
              </w:rPr>
              <w:t xml:space="preserve"> (1958); </w:t>
            </w:r>
            <w:r>
              <w:rPr>
                <w:rFonts w:ascii="Cambria" w:cs="Cambria" w:eastAsia="Cambria" w:hAnsi="Cambria"/>
                <w:b w:val="false"/>
                <w:bCs w:val="false"/>
                <w:i/>
                <w:iCs/>
                <w:strike w:val="false"/>
                <w:color w:val="000000"/>
                <w:sz w:val="24"/>
                <w:szCs w:val="24"/>
              </w:rPr>
              <w:t xml:space="preserve">Roberts v. Jaycees</w:t>
            </w:r>
            <w:r>
              <w:rPr>
                <w:rFonts w:ascii="Cambria" w:cs="Cambria" w:eastAsia="Cambria" w:hAnsi="Cambria"/>
                <w:b w:val="false"/>
                <w:bCs w:val="false"/>
                <w:i w:val="false"/>
                <w:iCs w:val="false"/>
                <w:strike w:val="false"/>
                <w:color w:val="000000"/>
                <w:sz w:val="24"/>
                <w:szCs w:val="24"/>
              </w:rPr>
              <w:t xml:space="preserve"> (1984); </w:t>
            </w:r>
            <w:r>
              <w:rPr>
                <w:rFonts w:ascii="Cambria" w:cs="Cambria" w:eastAsia="Cambria" w:hAnsi="Cambria"/>
                <w:b w:val="false"/>
                <w:bCs w:val="false"/>
                <w:i/>
                <w:iCs/>
                <w:strike w:val="false"/>
                <w:color w:val="000000"/>
                <w:sz w:val="24"/>
                <w:szCs w:val="24"/>
              </w:rPr>
              <w:t xml:space="preserve">Boy Scouts v. Dale</w:t>
            </w:r>
            <w:r>
              <w:rPr>
                <w:rFonts w:ascii="Cambria" w:cs="Cambria" w:eastAsia="Cambria" w:hAnsi="Cambria"/>
                <w:b w:val="false"/>
                <w:bCs w:val="false"/>
                <w:i w:val="false"/>
                <w:iCs w:val="false"/>
                <w:strike w:val="false"/>
                <w:color w:val="000000"/>
                <w:sz w:val="24"/>
                <w:szCs w:val="24"/>
              </w:rPr>
              <w:t xml:space="preserve"> (2000)</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Table 2: The Presumption Chain — Constitutional Defects at Each Step</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Step</w:t>
            </w:r>
          </w:p>
        </w:tc>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Government Action</w:t>
            </w:r>
          </w:p>
        </w:tc>
        <w:tc>
          <w:tcPr>
            <w:tcW w:type="pct" w:w="2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Description</w:t>
            </w:r>
          </w:p>
        </w:tc>
        <w:tc>
          <w:tcPr>
            <w:tcW w:type="pct" w:w="2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Constitutional Defect</w:t>
            </w:r>
          </w:p>
        </w:tc>
        <w:tc>
          <w:tcPr>
            <w:tcW w:type="pct" w:w="2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Required Process</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Identity Presumption</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Government creates or presumes a legal identity for the individual through administrative records</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hearing held; no notice given; no opportunity to contest; burden improperly placed on individual</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Evidentiary hearing with government bearing burden of proof by clear and convincing evidence</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Status Assignment</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Government attaches status categories (citizen, taxpayer, resident) to the presumed identity</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Status imposed without independent adjudication; no finding that individual meets criteria for assigned status</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Separate adjudication of each status component with notice and right to be heard</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Obligation Attachment</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Government imposes obligations (tax liability, regulatory compliance, jurisdictional submission) based on assigned status</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Obligations imposed without due process; no finding that obligations are lawfully applicable to the individual</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Demonstration that obligations lawfully attach to a verified identity and adjudicated status</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Association Compulsion</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Government compels participation in associational structures (tax systems, regulatory bodies, political community)</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Compelled association without consent; First Amendment violation; no voluntariness finding</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Informed, voluntary consent to each associational obligation; right to refuse without penalty</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5</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Liberty Deprivation</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Government enforces penalties for noncompliance with obligations attached to presumed identity (fines, liens, prosecution, incarceration)</w:t>
            </w:r>
          </w:p>
        </w:tc>
        <w:tc>
          <w:tcPr>
            <w:tcW w:type="pct" w:w="2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Deprivation of liberty/property based on an unverified identity presumption; entire enforcement chain rests on an unadjudicated foundation</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enforcement action may proceed until Steps 1–4 have been satisfied with full constitutional process</w:t>
            </w:r>
          </w:p>
        </w:tc>
      </w:tr>
    </w:tbl>
    <w:p>
      <w:pPr>
        <w:spacing w:after="200" w:before="0"/>
      </w:pP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8"/>
          <w:szCs w:val="48"/>
        </w:rPr>
        <w:t xml:space="preserve">PART II</w:t>
      </w:r>
    </w:p>
    <w:p>
      <w:pPr>
        <w:pStyle w:val="Heading2"/>
        <w:spacing w:after="120" w:before="360" w:line="312" w:lineRule="auto"/>
        <w:jc w:val="center"/>
      </w:pPr>
      <w:r>
        <w:rPr>
          <w:rFonts w:ascii="Cambria" w:cs="Cambria" w:eastAsia="Cambria" w:hAnsi="Cambria"/>
          <w:color w:val="000000"/>
          <w:sz w:val="36"/>
          <w:szCs w:val="36"/>
        </w:rPr>
        <w:t xml:space="preserve">MODEL MOTION — DEMAND FOR IDENTITY HEARING</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gridCol w:w="100"/>
      </w:tblGrid>
      <w:tr>
        <w:trPr>
          <w:tblHeader w:val="false"/>
        </w:trPr>
        <w:tc>
          <w:tcPr>
            <w:tcW w:type="pct" w:w="4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 THE [COURT NAME] FOR THE [JURISDICTION] [PARTY NAME], </w:t>
            </w:r>
            <w:r>
              <w:rPr>
                <w:rFonts w:ascii="Cambria" w:cs="Cambria" w:eastAsia="Cambria" w:hAnsi="Cambria"/>
                <w:b w:val="false"/>
                <w:bCs w:val="false"/>
                <w:i/>
                <w:iCs/>
                <w:strike w:val="false"/>
                <w:color w:val="000000"/>
                <w:sz w:val="24"/>
                <w:szCs w:val="24"/>
              </w:rPr>
              <w:t xml:space="preserve">Movant,</w:t>
            </w:r>
            <w:r>
              <w:rPr>
                <w:rFonts w:ascii="Cambria" w:cs="Cambria" w:eastAsia="Cambria" w:hAnsi="Cambria"/>
                <w:b w:val="false"/>
                <w:bCs w:val="false"/>
                <w:i w:val="false"/>
                <w:iCs w:val="false"/>
                <w:strike w:val="false"/>
                <w:color w:val="000000"/>
                <w:sz w:val="24"/>
                <w:szCs w:val="24"/>
              </w:rPr>
              <w:t xml:space="preserve"> v. [GOVERNMENT ENTITY], </w:t>
            </w:r>
            <w:r>
              <w:rPr>
                <w:rFonts w:ascii="Cambria" w:cs="Cambria" w:eastAsia="Cambria" w:hAnsi="Cambria"/>
                <w:b w:val="false"/>
                <w:bCs w:val="false"/>
                <w:i/>
                <w:iCs/>
                <w:strike w:val="false"/>
                <w:color w:val="000000"/>
                <w:sz w:val="24"/>
                <w:szCs w:val="24"/>
              </w:rPr>
              <w:t xml:space="preserve">Respondent.</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36"/>
                <w:szCs w:val="36"/>
              </w:rPr>
              <w:t xml:space="preserv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val="false"/>
                <w:iCs w:val="false"/>
                <w:strike w:val="false"/>
                <w:color w:val="000000"/>
                <w:sz w:val="36"/>
                <w:szCs w:val="36"/>
              </w:rPr>
              <w:t xml:space="preserv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val="false"/>
                <w:iCs w:val="false"/>
                <w:strike w:val="false"/>
                <w:color w:val="000000"/>
                <w:sz w:val="36"/>
                <w:szCs w:val="36"/>
              </w:rPr>
              <w:t xml:space="preserv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val="false"/>
                <w:iCs w:val="false"/>
                <w:strike w:val="false"/>
                <w:color w:val="000000"/>
                <w:sz w:val="36"/>
                <w:szCs w:val="36"/>
              </w:rPr>
              <w:t xml:space="preserv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val="false"/>
                <w:iCs w:val="false"/>
                <w:strike w:val="false"/>
                <w:color w:val="000000"/>
                <w:sz w:val="36"/>
                <w:szCs w:val="36"/>
              </w:rPr>
              <w:t xml:space="preserv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val="false"/>
                <w:iCs w:val="false"/>
                <w:strike w:val="false"/>
                <w:color w:val="000000"/>
                <w:sz w:val="36"/>
                <w:szCs w:val="36"/>
              </w:rPr>
              <w:t xml:space="preserv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val="false"/>
                <w:iCs w:val="false"/>
                <w:strike w:val="false"/>
                <w:color w:val="000000"/>
                <w:sz w:val="36"/>
                <w:szCs w:val="36"/>
              </w:rPr>
              <w:t xml:space="preserve">)</w:t>
            </w:r>
          </w:p>
        </w:tc>
        <w:tc>
          <w:tcPr>
            <w:tcW w:type="pct" w:w="4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Case No.: [CASE NUMBER] </w:t>
            </w:r>
            <w:r>
              <w:rPr>
                <w:rFonts w:ascii="Cambria" w:cs="Cambria" w:eastAsia="Cambria" w:hAnsi="Cambria"/>
                <w:b/>
                <w:bCs/>
                <w:i w:val="false"/>
                <w:iCs w:val="false"/>
                <w:strike w:val="false"/>
                <w:color w:val="000000"/>
                <w:sz w:val="24"/>
                <w:szCs w:val="24"/>
              </w:rPr>
              <w:t xml:space="preserve">MOTION FOR IDENTITY HEARING AND DEMAND FOR PROOF OF IDENTITY DETERMINATION</w:t>
            </w:r>
          </w:p>
        </w:tc>
      </w:tr>
    </w:tbl>
    <w:p>
      <w:pPr>
        <w:spacing w:after="200" w:before="0"/>
      </w:pP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8"/>
          <w:szCs w:val="28"/>
        </w:rPr>
        <w:t xml:space="preserve">INTRODUCTION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    The Movant, [PARTY NAME], by and through undersigned counsel (or appearing </w:t>
      </w:r>
      <w:r>
        <w:rPr>
          <w:rFonts w:ascii="Cambria" w:cs="Cambria" w:eastAsia="Cambria" w:hAnsi="Cambria"/>
          <w:b w:val="false"/>
          <w:bCs w:val="false"/>
          <w:i/>
          <w:iCs/>
          <w:strike w:val="false"/>
          <w:color w:val="000000"/>
          <w:sz w:val="24"/>
          <w:szCs w:val="24"/>
        </w:rPr>
        <w:t xml:space="preserve">pro se</w:t>
      </w:r>
      <w:r>
        <w:rPr>
          <w:rFonts w:ascii="Cambria" w:cs="Cambria" w:eastAsia="Cambria" w:hAnsi="Cambria"/>
          <w:b w:val="false"/>
          <w:bCs w:val="false"/>
          <w:i w:val="false"/>
          <w:iCs w:val="false"/>
          <w:strike w:val="false"/>
          <w:color w:val="000000"/>
          <w:sz w:val="24"/>
          <w:szCs w:val="24"/>
        </w:rPr>
        <w:t xml:space="preserve">), respectfully moves this Court for an order directing an evidentiary hearing on the threshold question of the Movant’s legal identity as presumed by the Respondent, [GOVERNMENT ENTITY]. The Movant challenges the government’s presumed identity assignment and asserts that no lawful adjudication of identity has occurred at any point in the proceedings or in the administrative actions giving rise to this matter.</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2.    The government has proceeded against the Movant under a presumed identity—an identity that was assigned unilaterally, without hearing, without the Movant’s informed consent, and without any evidentiary proceeding to establish its accuracy. This presumed identity forms the jurisdictional and substantive foundation for every obligation, status assignment, and enforcement action at issue. The Movant contends that this foundation is constitutionally defective.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3.    The Movant therefore demands that the Respondent be required to produce evidence supporting its identity determination, that the Court convene a formal evidentiary hearing on the question of identity, and that all proceedings be stayed pending resolution of this threshold issue.</w:t>
      </w:r>
    </w:p>
    <w:p>
      <w:pPr>
        <w:pStyle w:val="Heading3"/>
        <w:spacing w:after="120" w:before="240" w:line="312" w:lineRule="auto"/>
      </w:pPr>
      <w:r>
        <w:rPr>
          <w:rFonts w:ascii="Cambria" w:cs="Cambria" w:eastAsia="Cambria" w:hAnsi="Cambria"/>
          <w:color w:val="000000"/>
          <w:sz w:val="28"/>
          <w:szCs w:val="28"/>
        </w:rPr>
        <w:t xml:space="preserve">STATEMENT OF FACTS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4.    The Respondent, [GOVERNMENT ENTITY], has initiated and/or maintained proceedings against the Movant under a presumed legal identity.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5.    At no point has the Respondent conducted or sought a hearing to establish the accuracy of its identity determination as applied to the Movant.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6.    The Movant has not provided informed, voluntary consent to the identity assignment under which the Respondent proceeds.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7.    The identity assignment at issue was created through administrative processes—including but not limited to birth registration, issuance of identification numbers, and creation of government database entries—that were performed by third parties without the Movant’s knowledge, participation, or legal capacity to consent.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8.    The identity assignment carries substantial and concrete status consequences, including but not limited to:</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(a) Jurisdictional submission to the Respondent and its agencies;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(b) Federal, state, and local tax obligations;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(c) Regulatory compliance requirements;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(d) Compulsory associational memberships in government systems and programs;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(e) Exposure to penalties, enforcement actions, liens, and potential incarceration for noncompliance with obligations attached to the presumed identity.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9.    The Movant has been subjected to obligations and/or enforcement actions predicated entirely upon the unverified identity presumption described herein.</w:t>
      </w:r>
    </w:p>
    <w:p>
      <w:pPr>
        <w:pStyle w:val="Heading3"/>
        <w:spacing w:after="120" w:before="240" w:line="312" w:lineRule="auto"/>
      </w:pPr>
      <w:r>
        <w:rPr>
          <w:rFonts w:ascii="Cambria" w:cs="Cambria" w:eastAsia="Cambria" w:hAnsi="Cambria"/>
          <w:color w:val="000000"/>
          <w:sz w:val="28"/>
          <w:szCs w:val="28"/>
        </w:rPr>
        <w:t xml:space="preserve">LEGAL ARGUMENT</w:t>
      </w:r>
    </w:p>
    <w:p>
      <w:pPr>
        <w:pStyle w:val="Heading4"/>
        <w:spacing w:after="120" w:before="240" w:line="312" w:lineRule="auto"/>
      </w:pPr>
      <w:r>
        <w:rPr>
          <w:rFonts w:ascii="Cambria" w:cs="Cambria" w:eastAsia="Cambria" w:hAnsi="Cambria"/>
          <w:color w:val="000000"/>
          <w:sz w:val="24"/>
          <w:szCs w:val="24"/>
        </w:rPr>
        <w:t xml:space="preserve">ARGUMENT I — DUE PROCESS REQUIRES A HEARING BEFORE IDENTITY ASSIGNMENT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10.    The Due Process Clauses of the Fifth and Fourteenth Amendments prohibit the government from depriving any person of life, liberty, or property without due process of law. U.S. Const. amends. V, XIV, § 1.</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11.    Identity is a protected interest of the highest order. It is not merely one interest among many—it is the foundational interest upon which all other government-imposed obligations rest. Every status assignment, every tax obligation, every jurisdictional claim, and every enforcement action flows from the government’s initial identity determination. A deprivation of accurate identity is therefore a deprivation of the most fundamental kind.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12.    Under the three-factor balancing test established in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the Movant’s interest in an accurate identity determination is paramount; the risk of erroneous deprivation in the absence of any hearing is absolute; and the government’s burden in providing a single evidentiary hearing is minimal. All three factors weigh decisively in favor of requiring a hearing before identity may be presumed and obligations attached.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13.    In </w:t>
      </w:r>
      <w:r>
        <w:rPr>
          <w:rFonts w:ascii="Cambria" w:cs="Cambria" w:eastAsia="Cambria" w:hAnsi="Cambria"/>
          <w:b w:val="false"/>
          <w:bCs w:val="false"/>
          <w:i/>
          <w:iCs/>
          <w:strike w:val="false"/>
          <w:color w:val="000000"/>
          <w:sz w:val="24"/>
          <w:szCs w:val="24"/>
        </w:rPr>
        <w:t xml:space="preserve">Goldberg v. Kelly</w:t>
      </w:r>
      <w:r>
        <w:rPr>
          <w:rFonts w:ascii="Cambria" w:cs="Cambria" w:eastAsia="Cambria" w:hAnsi="Cambria"/>
          <w:b w:val="false"/>
          <w:bCs w:val="false"/>
          <w:i w:val="false"/>
          <w:iCs w:val="false"/>
          <w:strike w:val="false"/>
          <w:color w:val="000000"/>
          <w:sz w:val="24"/>
          <w:szCs w:val="24"/>
        </w:rPr>
        <w:t xml:space="preserve">, 397 U.S. 254 (1970), the Supreme Court held that a protected interest cannot be terminated without prior notice and opportunity to be heard. If a government benefit cannot be </w:t>
      </w:r>
      <w:r>
        <w:rPr>
          <w:rFonts w:ascii="Cambria" w:cs="Cambria" w:eastAsia="Cambria" w:hAnsi="Cambria"/>
          <w:b w:val="false"/>
          <w:bCs w:val="false"/>
          <w:i/>
          <w:iCs/>
          <w:strike w:val="false"/>
          <w:color w:val="000000"/>
          <w:sz w:val="24"/>
          <w:szCs w:val="24"/>
        </w:rPr>
        <w:t xml:space="preserve">removed</w:t>
      </w:r>
      <w:r>
        <w:rPr>
          <w:rFonts w:ascii="Cambria" w:cs="Cambria" w:eastAsia="Cambria" w:hAnsi="Cambria"/>
          <w:b w:val="false"/>
          <w:bCs w:val="false"/>
          <w:i w:val="false"/>
          <w:iCs w:val="false"/>
          <w:strike w:val="false"/>
          <w:color w:val="000000"/>
          <w:sz w:val="24"/>
          <w:szCs w:val="24"/>
        </w:rPr>
        <w:t xml:space="preserve"> without process, then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 a legal identity and its attendant obligations cannot be </w:t>
      </w:r>
      <w:r>
        <w:rPr>
          <w:rFonts w:ascii="Cambria" w:cs="Cambria" w:eastAsia="Cambria" w:hAnsi="Cambria"/>
          <w:b w:val="false"/>
          <w:bCs w:val="false"/>
          <w:i/>
          <w:iCs/>
          <w:strike w:val="false"/>
          <w:color w:val="000000"/>
          <w:sz w:val="24"/>
          <w:szCs w:val="24"/>
        </w:rPr>
        <w:t xml:space="preserve">imposed</w:t>
      </w:r>
      <w:r>
        <w:rPr>
          <w:rFonts w:ascii="Cambria" w:cs="Cambria" w:eastAsia="Cambria" w:hAnsi="Cambria"/>
          <w:b w:val="false"/>
          <w:bCs w:val="false"/>
          <w:i w:val="false"/>
          <w:iCs w:val="false"/>
          <w:strike w:val="false"/>
          <w:color w:val="000000"/>
          <w:sz w:val="24"/>
          <w:szCs w:val="24"/>
        </w:rPr>
        <w:t xml:space="preserve"> without process.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14.    In </w:t>
      </w:r>
      <w:r>
        <w:rPr>
          <w:rFonts w:ascii="Cambria" w:cs="Cambria" w:eastAsia="Cambria" w:hAnsi="Cambria"/>
          <w:b w:val="false"/>
          <w:bCs w:val="false"/>
          <w:i/>
          <w:iCs/>
          <w:strike w:val="false"/>
          <w:color w:val="000000"/>
          <w:sz w:val="24"/>
          <w:szCs w:val="24"/>
        </w:rPr>
        <w:t xml:space="preserve">Cleveland Board of Education v. Loudermill</w:t>
      </w:r>
      <w:r>
        <w:rPr>
          <w:rFonts w:ascii="Cambria" w:cs="Cambria" w:eastAsia="Cambria" w:hAnsi="Cambria"/>
          <w:b w:val="false"/>
          <w:bCs w:val="false"/>
          <w:i w:val="false"/>
          <w:iCs w:val="false"/>
          <w:strike w:val="false"/>
          <w:color w:val="000000"/>
          <w:sz w:val="24"/>
          <w:szCs w:val="24"/>
        </w:rPr>
        <w:t xml:space="preserve">, 470 U.S. 532 (1985), the Court reaffirmed that the Constitution requires “some form of hearing” before the government deprives an individual of a protected interest. No such hearing has ever been afforded to the Movant with respect to the government’s identity determination.</w:t>
      </w:r>
    </w:p>
    <w:p>
      <w:pPr>
        <w:pStyle w:val="Heading4"/>
        <w:spacing w:after="120" w:before="240" w:line="312" w:lineRule="auto"/>
      </w:pPr>
      <w:r>
        <w:rPr>
          <w:rFonts w:ascii="Cambria" w:cs="Cambria" w:eastAsia="Cambria" w:hAnsi="Cambria"/>
          <w:color w:val="000000"/>
          <w:sz w:val="24"/>
          <w:szCs w:val="24"/>
        </w:rPr>
        <w:t xml:space="preserve">ARGUMENT II — THE GOVERNMENT BEARS THE BURDEN OF PROVING IDENTITY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15.    The government is the party asserting the Movant’s identity. Fundamental principles of constitutional adjudication require that the party asserting a fact bear the burden of proving it. The government cannot presume the fact it asserts and then require the individual to disprove it; such an approach inverts the constitutional structure and denies due process.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16.    In </w:t>
      </w:r>
      <w:r>
        <w:rPr>
          <w:rFonts w:ascii="Cambria" w:cs="Cambria" w:eastAsia="Cambria" w:hAnsi="Cambria"/>
          <w:b w:val="false"/>
          <w:bCs w:val="false"/>
          <w:i/>
          <w:iCs/>
          <w:strike w:val="false"/>
          <w:color w:val="000000"/>
          <w:sz w:val="24"/>
          <w:szCs w:val="24"/>
        </w:rPr>
        <w:t xml:space="preserve">Addington v. Texas</w:t>
      </w:r>
      <w:r>
        <w:rPr>
          <w:rFonts w:ascii="Cambria" w:cs="Cambria" w:eastAsia="Cambria" w:hAnsi="Cambria"/>
          <w:b w:val="false"/>
          <w:bCs w:val="false"/>
          <w:i w:val="false"/>
          <w:iCs w:val="false"/>
          <w:strike w:val="false"/>
          <w:color w:val="000000"/>
          <w:sz w:val="24"/>
          <w:szCs w:val="24"/>
        </w:rPr>
        <w:t xml:space="preserve">, 441 U.S. 418 (1979), the Supreme Court held that the standard of proof required in a proceeding reflects the magnitude of the interests at stake. Where individual liberty is threatened, the minimum standard is clear and convincing evidence. Because identity is the predicate for all liberty-affecting government actions, the government must establish identity by no less than clear and convincing evidence at a formal evidentiary hearing.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17.    The current practice—in which identity is presumed without any evidentiary standard and the individual bears the burden of disproving the presumption—fails to satisfy any constitutionally recognized standard of proof.</w:t>
      </w:r>
    </w:p>
    <w:p>
      <w:pPr>
        <w:pStyle w:val="Heading4"/>
        <w:spacing w:after="120" w:before="240" w:line="312" w:lineRule="auto"/>
      </w:pPr>
      <w:r>
        <w:rPr>
          <w:rFonts w:ascii="Cambria" w:cs="Cambria" w:eastAsia="Cambria" w:hAnsi="Cambria"/>
          <w:color w:val="000000"/>
          <w:sz w:val="24"/>
          <w:szCs w:val="24"/>
        </w:rPr>
        <w:t xml:space="preserve">ARGUMENT III — IDENTITY PRESUMPTIONS VIOLATE ASSOCIATIONAL RIGHTS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18.    The First Amendment protects the freedom of association, including the right not to be compelled to associate. </w:t>
      </w:r>
      <w:r>
        <w:rPr>
          <w:rFonts w:ascii="Cambria" w:cs="Cambria" w:eastAsia="Cambria" w:hAnsi="Cambria"/>
          <w:b w:val="false"/>
          <w:bCs w:val="false"/>
          <w:i/>
          <w:iCs/>
          <w:strike w:val="false"/>
          <w:color w:val="000000"/>
          <w:sz w:val="24"/>
          <w:szCs w:val="24"/>
        </w:rPr>
        <w:t xml:space="preserve">NAACP v. Alabama ex rel. Patterson</w:t>
      </w:r>
      <w:r>
        <w:rPr>
          <w:rFonts w:ascii="Cambria" w:cs="Cambria" w:eastAsia="Cambria" w:hAnsi="Cambria"/>
          <w:b w:val="false"/>
          <w:bCs w:val="false"/>
          <w:i w:val="false"/>
          <w:iCs w:val="false"/>
          <w:strike w:val="false"/>
          <w:color w:val="000000"/>
          <w:sz w:val="24"/>
          <w:szCs w:val="24"/>
        </w:rPr>
        <w:t xml:space="preserve">, 357 U.S. 449 (1958); </w:t>
      </w:r>
      <w:r>
        <w:rPr>
          <w:rFonts w:ascii="Cambria" w:cs="Cambria" w:eastAsia="Cambria" w:hAnsi="Cambria"/>
          <w:b w:val="false"/>
          <w:bCs w:val="false"/>
          <w:i/>
          <w:iCs/>
          <w:strike w:val="false"/>
          <w:color w:val="000000"/>
          <w:sz w:val="24"/>
          <w:szCs w:val="24"/>
        </w:rPr>
        <w:t xml:space="preserve">Roberts v. United States Jaycees</w:t>
      </w:r>
      <w:r>
        <w:rPr>
          <w:rFonts w:ascii="Cambria" w:cs="Cambria" w:eastAsia="Cambria" w:hAnsi="Cambria"/>
          <w:b w:val="false"/>
          <w:bCs w:val="false"/>
          <w:i w:val="false"/>
          <w:iCs w:val="false"/>
          <w:strike w:val="false"/>
          <w:color w:val="000000"/>
          <w:sz w:val="24"/>
          <w:szCs w:val="24"/>
        </w:rPr>
        <w:t xml:space="preserve">, 468 U.S. 609 (1984).</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19.    The government’s identity assignment forcibly enrolls the Movant in associational structures—including citizenship obligations, tax systems, regulatory frameworks, and jurisdictional memberships—without the Movant’s consent. These compelled associations carry mandatory participation requirements, financial obligations, and behavioral constraints enforceable by penalty.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20.    Compelled association without consent violates the First Amendment. The government cannot cure this defect by asserting that the association arises automatically from identity, because the identity itself was never lawfully established.</w:t>
      </w:r>
    </w:p>
    <w:p>
      <w:pPr>
        <w:pStyle w:val="Heading4"/>
        <w:spacing w:after="120" w:before="240" w:line="312" w:lineRule="auto"/>
      </w:pPr>
      <w:r>
        <w:rPr>
          <w:rFonts w:ascii="Cambria" w:cs="Cambria" w:eastAsia="Cambria" w:hAnsi="Cambria"/>
          <w:color w:val="000000"/>
          <w:sz w:val="24"/>
          <w:szCs w:val="24"/>
        </w:rPr>
        <w:t xml:space="preserve">ARGUMENT IV — THE COURT LACKS JURISDICTION ABSENT VERIFIED IDENTITY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21.    Jurisdiction requires, as a threshold matter, the proper identification of the parties before the court. A court’s authority extends only over identified persons and entities properly before it. Where the government has failed to establish the identity of the individual through lawful process, the court’s jurisdiction over that individual is subject to challenge.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22.    An unverified identity presumption creates a jurisdictional defect. If the identity upon which the government’s claims rest has never been adjudicated, then the court is proceeding against an unverified party—a circumstance that undermines the court’s subject-matter and personal jurisdiction.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23.    The Movant respectfully submits that this Court cannot lawfully exercise jurisdiction over the Movant until the threshold question of identity has been resolved through proper constitutional process.</w:t>
      </w:r>
    </w:p>
    <w:p>
      <w:pPr>
        <w:pStyle w:val="Heading3"/>
        <w:spacing w:after="120" w:before="240" w:line="312" w:lineRule="auto"/>
      </w:pPr>
      <w:r>
        <w:rPr>
          <w:rFonts w:ascii="Cambria" w:cs="Cambria" w:eastAsia="Cambria" w:hAnsi="Cambria"/>
          <w:color w:val="000000"/>
          <w:sz w:val="28"/>
          <w:szCs w:val="28"/>
        </w:rPr>
        <w:t xml:space="preserve">PRAYER FOR RELIEF</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WHEREFORE, the Movant respectfully requests that this Court enter an order:</w:t>
      </w:r>
    </w:p>
    <w:p>
      <w:pPr>
        <w:spacing w:after="120" w:before="60" w:line="360" w:lineRule="auto"/>
      </w:pPr>
      <w:r>
        <w:rPr>
          <w:rFonts w:ascii="Cambria" w:cs="Cambria" w:eastAsia="Cambria" w:hAnsi="Cambria"/>
          <w:b/>
          <w:bCs/>
          <w:i w:val="false"/>
          <w:iCs w:val="false"/>
          <w:strike w:val="false"/>
          <w:color w:val="000000"/>
          <w:sz w:val="24"/>
          <w:szCs w:val="24"/>
        </w:rPr>
        <w:t xml:space="preserve">(a)</w:t>
      </w:r>
      <w:r>
        <w:rPr>
          <w:rFonts w:ascii="Cambria" w:cs="Cambria" w:eastAsia="Cambria" w:hAnsi="Cambria"/>
          <w:b w:val="false"/>
          <w:bCs w:val="false"/>
          <w:i w:val="false"/>
          <w:iCs w:val="false"/>
          <w:strike w:val="false"/>
          <w:color w:val="000000"/>
          <w:sz w:val="24"/>
          <w:szCs w:val="24"/>
        </w:rPr>
        <w:t xml:space="preserve">    Convening an evidentiary hearing on the government’s identity determination as applied to the Movant, at which the government shall bear the burden of proof;</w:t>
      </w:r>
    </w:p>
    <w:p>
      <w:pPr>
        <w:spacing w:after="120" w:before="60" w:line="360" w:lineRule="auto"/>
      </w:pPr>
      <w:r>
        <w:rPr>
          <w:rFonts w:ascii="Cambria" w:cs="Cambria" w:eastAsia="Cambria" w:hAnsi="Cambria"/>
          <w:b/>
          <w:bCs/>
          <w:i w:val="false"/>
          <w:iCs w:val="false"/>
          <w:strike w:val="false"/>
          <w:color w:val="000000"/>
          <w:sz w:val="24"/>
          <w:szCs w:val="24"/>
        </w:rPr>
        <w:t xml:space="preserve">(b)</w:t>
      </w:r>
      <w:r>
        <w:rPr>
          <w:rFonts w:ascii="Cambria" w:cs="Cambria" w:eastAsia="Cambria" w:hAnsi="Cambria"/>
          <w:b w:val="false"/>
          <w:bCs w:val="false"/>
          <w:i w:val="false"/>
          <w:iCs w:val="false"/>
          <w:strike w:val="false"/>
          <w:color w:val="000000"/>
          <w:sz w:val="24"/>
          <w:szCs w:val="24"/>
        </w:rPr>
        <w:t xml:space="preserve">    Requiring the Respondent to produce all evidence upon which it relies in asserting the Movant’s identity, including but not limited to foundational documents, database records, and chain-of-custody documentation;</w:t>
      </w:r>
    </w:p>
    <w:p>
      <w:pPr>
        <w:spacing w:after="120" w:before="60" w:line="360" w:lineRule="auto"/>
      </w:pPr>
      <w:r>
        <w:rPr>
          <w:rFonts w:ascii="Cambria" w:cs="Cambria" w:eastAsia="Cambria" w:hAnsi="Cambria"/>
          <w:b/>
          <w:bCs/>
          <w:i w:val="false"/>
          <w:iCs w:val="false"/>
          <w:strike w:val="false"/>
          <w:color w:val="000000"/>
          <w:sz w:val="24"/>
          <w:szCs w:val="24"/>
        </w:rPr>
        <w:t xml:space="preserve">(c)</w:t>
      </w:r>
      <w:r>
        <w:rPr>
          <w:rFonts w:ascii="Cambria" w:cs="Cambria" w:eastAsia="Cambria" w:hAnsi="Cambria"/>
          <w:b w:val="false"/>
          <w:bCs w:val="false"/>
          <w:i w:val="false"/>
          <w:iCs w:val="false"/>
          <w:strike w:val="false"/>
          <w:color w:val="000000"/>
          <w:sz w:val="24"/>
          <w:szCs w:val="24"/>
        </w:rPr>
        <w:t xml:space="preserve">    Staying all proceedings, enforcement actions, and obligation enforcement pending adjudication of the identity question;</w:t>
      </w:r>
    </w:p>
    <w:p>
      <w:pPr>
        <w:spacing w:after="120" w:before="60" w:line="360" w:lineRule="auto"/>
      </w:pPr>
      <w:r>
        <w:rPr>
          <w:rFonts w:ascii="Cambria" w:cs="Cambria" w:eastAsia="Cambria" w:hAnsi="Cambria"/>
          <w:b/>
          <w:bCs/>
          <w:i w:val="false"/>
          <w:iCs w:val="false"/>
          <w:strike w:val="false"/>
          <w:color w:val="000000"/>
          <w:sz w:val="24"/>
          <w:szCs w:val="24"/>
        </w:rPr>
        <w:t xml:space="preserve">(d)</w:t>
      </w:r>
      <w:r>
        <w:rPr>
          <w:rFonts w:ascii="Cambria" w:cs="Cambria" w:eastAsia="Cambria" w:hAnsi="Cambria"/>
          <w:b w:val="false"/>
          <w:bCs w:val="false"/>
          <w:i w:val="false"/>
          <w:iCs w:val="false"/>
          <w:strike w:val="false"/>
          <w:color w:val="000000"/>
          <w:sz w:val="24"/>
          <w:szCs w:val="24"/>
        </w:rPr>
        <w:t xml:space="preserve">    Ruling that the government bears the burden of establishing identity by clear and convincing evidence at the evidentiary hearing; and</w:t>
      </w:r>
    </w:p>
    <w:p>
      <w:pPr>
        <w:spacing w:after="120" w:before="60" w:line="360" w:lineRule="auto"/>
      </w:pPr>
      <w:r>
        <w:rPr>
          <w:rFonts w:ascii="Cambria" w:cs="Cambria" w:eastAsia="Cambria" w:hAnsi="Cambria"/>
          <w:b/>
          <w:bCs/>
          <w:i w:val="false"/>
          <w:iCs w:val="false"/>
          <w:strike w:val="false"/>
          <w:color w:val="000000"/>
          <w:sz w:val="24"/>
          <w:szCs w:val="24"/>
        </w:rPr>
        <w:t xml:space="preserve">(e)</w:t>
      </w:r>
      <w:r>
        <w:rPr>
          <w:rFonts w:ascii="Cambria" w:cs="Cambria" w:eastAsia="Cambria" w:hAnsi="Cambria"/>
          <w:b w:val="false"/>
          <w:bCs w:val="false"/>
          <w:i w:val="false"/>
          <w:iCs w:val="false"/>
          <w:strike w:val="false"/>
          <w:color w:val="000000"/>
          <w:sz w:val="24"/>
          <w:szCs w:val="24"/>
        </w:rPr>
        <w:t xml:space="preserve">    Granting such other and further relief as this Court deems just and proper.</w:t>
      </w:r>
    </w:p>
    <w:p>
      <w:pPr>
        <w:pStyle w:val="Heading3"/>
        <w:spacing w:after="120" w:before="240" w:line="312" w:lineRule="auto"/>
      </w:pPr>
      <w:r>
        <w:rPr>
          <w:rFonts w:ascii="Cambria" w:cs="Cambria" w:eastAsia="Cambria" w:hAnsi="Cambria"/>
          <w:color w:val="000000"/>
          <w:sz w:val="28"/>
          <w:szCs w:val="28"/>
        </w:rPr>
        <w:t xml:space="preserve">VERIFICATION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 [PARTY NAME], hereby declare under penalty of perjury that the facts set forth in this Motion are true and correct to the best of my knowledge, information, and belief.</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Respectfully submitted,</w:t>
      </w: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000000"/>
          <w:sz w:val="24"/>
          <w:szCs w:val="24"/>
        </w:rPr>
        <w:t xml:space="preserve">[PARTY NAME]</w:t>
      </w:r>
    </w:p>
    <w:p>
      <w:pPr>
        <w:spacing w:after="60" w:before="60" w:line="360" w:lineRule="auto"/>
      </w:pPr>
      <w:r>
        <w:rPr>
          <w:rFonts w:ascii="Cambria" w:cs="Cambria" w:eastAsia="Cambria" w:hAnsi="Cambria"/>
          <w:b w:val="false"/>
          <w:bCs w:val="false"/>
          <w:i w:val="false"/>
          <w:iCs w:val="false"/>
          <w:strike w:val="false"/>
          <w:color w:val="333333"/>
          <w:sz w:val="24"/>
          <w:szCs w:val="24"/>
        </w:rPr>
        <w:t xml:space="preserve">Movant, </w:t>
      </w:r>
      <w:r>
        <w:rPr>
          <w:rFonts w:ascii="Cambria" w:cs="Cambria" w:eastAsia="Cambria" w:hAnsi="Cambria"/>
          <w:b w:val="false"/>
          <w:bCs w:val="false"/>
          <w:i/>
          <w:iCs/>
          <w:strike w:val="false"/>
          <w:color w:val="000000"/>
          <w:sz w:val="24"/>
          <w:szCs w:val="24"/>
        </w:rPr>
        <w:t xml:space="preserve">Pro Se</w:t>
      </w:r>
      <w:r>
        <w:rPr>
          <w:rFonts w:ascii="Cambria" w:cs="Cambria" w:eastAsia="Cambria" w:hAnsi="Cambria"/>
          <w:b w:val="false"/>
          <w:bCs w:val="false"/>
          <w:i w:val="false"/>
          <w:iCs w:val="false"/>
          <w:strike w:val="false"/>
          <w:color w:val="333333"/>
          <w:sz w:val="24"/>
          <w:szCs w:val="24"/>
        </w:rPr>
        <w:t xml:space="preserve"> (or by Counsel)</w:t>
      </w:r>
    </w:p>
    <w:p>
      <w:pPr>
        <w:spacing w:after="60" w:before="60" w:line="360" w:lineRule="auto"/>
      </w:pPr>
      <w:r>
        <w:rPr>
          <w:rFonts w:ascii="Cambria" w:cs="Cambria" w:eastAsia="Cambria" w:hAnsi="Cambria"/>
          <w:b w:val="false"/>
          <w:bCs w:val="false"/>
          <w:i w:val="false"/>
          <w:iCs w:val="false"/>
          <w:strike w:val="false"/>
          <w:color w:val="333333"/>
          <w:sz w:val="24"/>
          <w:szCs w:val="24"/>
        </w:rPr>
        <w:t xml:space="preserve">[ADDRESS LINE 1]</w:t>
      </w:r>
    </w:p>
    <w:p>
      <w:pPr>
        <w:spacing w:after="60" w:before="60" w:line="360" w:lineRule="auto"/>
      </w:pPr>
      <w:r>
        <w:rPr>
          <w:rFonts w:ascii="Cambria" w:cs="Cambria" w:eastAsia="Cambria" w:hAnsi="Cambria"/>
          <w:b w:val="false"/>
          <w:bCs w:val="false"/>
          <w:i w:val="false"/>
          <w:iCs w:val="false"/>
          <w:strike w:val="false"/>
          <w:color w:val="333333"/>
          <w:sz w:val="24"/>
          <w:szCs w:val="24"/>
        </w:rPr>
        <w:t xml:space="preserve">[ADDRESS LINE 2]</w:t>
      </w:r>
    </w:p>
    <w:p>
      <w:pPr>
        <w:spacing w:after="60" w:before="60" w:line="360" w:lineRule="auto"/>
      </w:pPr>
      <w:r>
        <w:rPr>
          <w:rFonts w:ascii="Cambria" w:cs="Cambria" w:eastAsia="Cambria" w:hAnsi="Cambria"/>
          <w:b w:val="false"/>
          <w:bCs w:val="false"/>
          <w:i w:val="false"/>
          <w:iCs w:val="false"/>
          <w:strike w:val="false"/>
          <w:color w:val="333333"/>
          <w:sz w:val="24"/>
          <w:szCs w:val="24"/>
        </w:rPr>
        <w:t xml:space="preserve">[TELEPHONE]</w:t>
      </w:r>
    </w:p>
    <w:p>
      <w:pPr>
        <w:spacing w:after="60" w:before="60" w:line="360" w:lineRule="auto"/>
      </w:pPr>
      <w:r>
        <w:rPr>
          <w:rFonts w:ascii="Cambria" w:cs="Cambria" w:eastAsia="Cambria" w:hAnsi="Cambria"/>
          <w:b w:val="false"/>
          <w:bCs w:val="false"/>
          <w:i w:val="false"/>
          <w:iCs w:val="false"/>
          <w:strike w:val="false"/>
          <w:color w:val="333333"/>
          <w:sz w:val="24"/>
          <w:szCs w:val="24"/>
        </w:rPr>
        <w:t xml:space="preserve">[EMAIL ADDRESS]</w:t>
      </w:r>
    </w:p>
    <w:p>
      <w:pPr>
        <w:spacing w:after="60" w:before="60" w:line="360" w:lineRule="auto"/>
      </w:pPr>
      <w:r>
        <w:rPr>
          <w:rFonts w:ascii="Cambria" w:cs="Cambria" w:eastAsia="Cambria" w:hAnsi="Cambria"/>
          <w:b w:val="false"/>
          <w:bCs w:val="false"/>
          <w:i w:val="false"/>
          <w:iCs w:val="false"/>
          <w:strike w:val="false"/>
          <w:color w:val="333333"/>
          <w:sz w:val="24"/>
          <w:szCs w:val="24"/>
        </w:rPr>
        <w:t xml:space="preserve">Dated: ___________________</w:t>
      </w:r>
    </w:p>
    <w:p>
      <w:pPr>
        <w:pStyle w:val="Heading3"/>
        <w:spacing w:after="120" w:before="240" w:line="312" w:lineRule="auto"/>
      </w:pPr>
      <w:r>
        <w:rPr>
          <w:rFonts w:ascii="Cambria" w:cs="Cambria" w:eastAsia="Cambria" w:hAnsi="Cambria"/>
          <w:color w:val="000000"/>
          <w:sz w:val="28"/>
          <w:szCs w:val="28"/>
        </w:rPr>
        <w:t xml:space="preserve">CERTIFICATE OF SERVICE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 hereby certify that on the _____ day of _______________, 20____, a true and correct copy of the foregoing Motion was served upon [GOVERNMENT ENTITY] by [method of service] at the following address: ___________________________________.</w:t>
      </w: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000000"/>
          <w:sz w:val="24"/>
          <w:szCs w:val="24"/>
        </w:rPr>
        <w:t xml:space="preserve">[PARTY NAME]</w:t>
      </w: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8"/>
          <w:szCs w:val="48"/>
        </w:rPr>
        <w:t xml:space="preserve">PART III</w:t>
      </w:r>
    </w:p>
    <w:p>
      <w:pPr>
        <w:pStyle w:val="Heading2"/>
        <w:spacing w:after="120" w:before="360" w:line="312" w:lineRule="auto"/>
        <w:jc w:val="center"/>
      </w:pPr>
      <w:r>
        <w:rPr>
          <w:rFonts w:ascii="Cambria" w:cs="Cambria" w:eastAsia="Cambria" w:hAnsi="Cambria"/>
          <w:color w:val="000000"/>
          <w:sz w:val="36"/>
          <w:szCs w:val="36"/>
        </w:rPr>
        <w:t xml:space="preserve">CROSS-EXAMINATION SCRIPT</w:t>
      </w:r>
    </w:p>
    <w:p>
      <w:pPr>
        <w:spacing w:after="120" w:before="60" w:line="360" w:lineRule="auto"/>
        <w:jc w:val="center"/>
      </w:pPr>
      <w:r>
        <w:rPr>
          <w:rFonts w:ascii="Cambria" w:cs="Cambria" w:eastAsia="Cambria" w:hAnsi="Cambria"/>
          <w:b w:val="false"/>
          <w:bCs w:val="false"/>
          <w:i w:val="false"/>
          <w:iCs w:val="false"/>
          <w:strike w:val="false"/>
          <w:color w:val="333333"/>
          <w:sz w:val="24"/>
          <w:szCs w:val="24"/>
        </w:rPr>
        <w:t xml:space="preserve">Challenging Government Identity Presumptions</w:t>
      </w:r>
    </w:p>
    <w:p>
      <w:pPr>
        <w:spacing w:after="120" w:before="60" w:line="360" w:lineRule="auto"/>
        <w:jc w:val="center"/>
      </w:pPr>
      <w:r>
        <w:rPr>
          <w:rFonts w:ascii="Cambria" w:cs="Cambria" w:eastAsia="Cambria" w:hAnsi="Cambria"/>
          <w:b w:val="false"/>
          <w:bCs w:val="false"/>
          <w:i/>
          <w:iCs/>
          <w:strike w:val="false"/>
          <w:color w:val="666666"/>
          <w:sz w:val="24"/>
          <w:szCs w:val="24"/>
        </w:rPr>
        <w:t xml:space="preserve">For use at an identity hearing or evidentiary proceeding.</w:t>
      </w:r>
      <w:r>
        <w:rPr>
          <w:rFonts w:ascii="Cambria" w:cs="Cambria" w:eastAsia="Cambria" w:hAnsi="Cambria"/>
          <w:b w:val="false"/>
          <w:bCs w:val="false"/>
          <w:i/>
          <w:iCs/>
          <w:color w:val="666666"/>
          <w:sz w:val="24"/>
          <w:szCs w:val="24"/>
        </w:rPr>
        <w:br/>
      </w:r>
      <w:r>
        <w:rPr>
          <w:rFonts w:ascii="Cambria" w:cs="Cambria" w:eastAsia="Cambria" w:hAnsi="Cambria"/>
          <w:b w:val="false"/>
          <w:bCs w:val="false"/>
          <w:i/>
          <w:iCs/>
          <w:strike w:val="false"/>
          <w:color w:val="666666"/>
          <w:sz w:val="24"/>
          <w:szCs w:val="24"/>
        </w:rPr>
        <w:t xml:space="preserve">Directed to a government witness: records custodian, agent, or official.</w:t>
      </w:r>
    </w:p>
    <w:p>
      <w:pPr>
        <w:pStyle w:val="Heading2"/>
        <w:spacing w:after="120" w:before="360" w:line="312" w:lineRule="auto"/>
      </w:pPr>
      <w:r>
        <w:rPr>
          <w:rFonts w:ascii="Cambria" w:cs="Cambria" w:eastAsia="Cambria" w:hAnsi="Cambria"/>
          <w:color w:val="000000"/>
          <w:sz w:val="36"/>
          <w:szCs w:val="36"/>
        </w:rPr>
        <w:t xml:space="preserve">Section 3.1 — Foundational Questions</w:t>
      </w:r>
    </w:p>
    <w:p>
      <w:pPr>
        <w:spacing w:after="120" w:before="60" w:line="360" w:lineRule="auto"/>
      </w:pPr>
      <w:r>
        <w:rPr>
          <w:rFonts w:ascii="Cambria" w:cs="Cambria" w:eastAsia="Cambria" w:hAnsi="Cambria"/>
          <w:b/>
          <w:bCs/>
          <w:i/>
          <w:iCs/>
          <w:strike w:val="false"/>
          <w:color w:val="000000"/>
          <w:sz w:val="24"/>
          <w:szCs w:val="24"/>
        </w:rPr>
        <w:t xml:space="preserve">Purpose:</w:t>
      </w:r>
      <w:r>
        <w:rPr>
          <w:rFonts w:ascii="Cambria" w:cs="Cambria" w:eastAsia="Cambria" w:hAnsi="Cambria"/>
          <w:b w:val="false"/>
          <w:bCs w:val="false"/>
          <w:i/>
          <w:iCs/>
          <w:strike w:val="false"/>
          <w:color w:val="333333"/>
          <w:sz w:val="24"/>
          <w:szCs w:val="24"/>
        </w:rPr>
        <w:t xml:space="preserve"> Establish the witness’s role, authority, personal knowledge, and reliance on third-party records.</w:t>
      </w:r>
    </w:p>
    <w:p>
      <w:pPr>
        <w:spacing w:after="120" w:before="60" w:line="360" w:lineRule="auto"/>
      </w:pPr>
      <w:r>
        <w:rPr>
          <w:rFonts w:ascii="Cambria" w:cs="Cambria" w:eastAsia="Cambria" w:hAnsi="Cambria"/>
          <w:b/>
          <w:bCs/>
          <w:i w:val="false"/>
          <w:iCs w:val="false"/>
          <w:strike w:val="false"/>
          <w:color w:val="000000"/>
          <w:sz w:val="24"/>
          <w:szCs w:val="24"/>
        </w:rPr>
        <w:t xml:space="preserve">Q: Please state your full name and title for the record.</w:t>
      </w:r>
    </w:p>
    <w:p>
      <w:pPr>
        <w:spacing w:after="120" w:before="60" w:line="360" w:lineRule="auto"/>
      </w:pPr>
      <w:r>
        <w:rPr>
          <w:rFonts w:ascii="Cambria" w:cs="Cambria" w:eastAsia="Cambria" w:hAnsi="Cambria"/>
          <w:b/>
          <w:bCs/>
          <w:i w:val="false"/>
          <w:iCs w:val="false"/>
          <w:strike w:val="false"/>
          <w:color w:val="000000"/>
          <w:sz w:val="24"/>
          <w:szCs w:val="24"/>
        </w:rPr>
        <w:t xml:space="preserve">Q: In what capacity are you appearing today?</w:t>
      </w:r>
    </w:p>
    <w:p>
      <w:pPr>
        <w:spacing w:after="120" w:before="60" w:line="360" w:lineRule="auto"/>
      </w:pPr>
      <w:r>
        <w:rPr>
          <w:rFonts w:ascii="Cambria" w:cs="Cambria" w:eastAsia="Cambria" w:hAnsi="Cambria"/>
          <w:b/>
          <w:bCs/>
          <w:i w:val="false"/>
          <w:iCs w:val="false"/>
          <w:strike w:val="false"/>
          <w:color w:val="000000"/>
          <w:sz w:val="24"/>
          <w:szCs w:val="24"/>
        </w:rPr>
        <w:t xml:space="preserve">Q: Are you the custodian of records for the [GOVERNMENT ENTITY] with respect to the identity records at issue in this proceeding?</w:t>
      </w:r>
    </w:p>
    <w:p>
      <w:pPr>
        <w:spacing w:after="120" w:before="60" w:line="360" w:lineRule="auto"/>
      </w:pPr>
      <w:r>
        <w:rPr>
          <w:rFonts w:ascii="Cambria" w:cs="Cambria" w:eastAsia="Cambria" w:hAnsi="Cambria"/>
          <w:b/>
          <w:bCs/>
          <w:i w:val="false"/>
          <w:iCs w:val="false"/>
          <w:strike w:val="false"/>
          <w:color w:val="000000"/>
          <w:sz w:val="24"/>
          <w:szCs w:val="24"/>
        </w:rPr>
        <w:t xml:space="preserve">Q: Do you have personal knowledge of the events surrounding the creation of the identity records attributed to the Movant?</w:t>
      </w:r>
    </w:p>
    <w:p>
      <w:pPr>
        <w:spacing w:after="120" w:before="60" w:line="360" w:lineRule="auto"/>
      </w:pPr>
      <w:r>
        <w:rPr>
          <w:rFonts w:ascii="Cambria" w:cs="Cambria" w:eastAsia="Cambria" w:hAnsi="Cambria"/>
          <w:b w:val="false"/>
          <w:bCs w:val="false"/>
          <w:i/>
          <w:iCs/>
          <w:strike w:val="false"/>
          <w:color w:val="000000"/>
          <w:sz w:val="24"/>
          <w:szCs w:val="24"/>
        </w:rPr>
        <w:t xml:space="preserve">[Expected answer: No. The witness was not present at birth registration or initial record creation.]</w:t>
      </w:r>
    </w:p>
    <w:p>
      <w:pPr>
        <w:spacing w:after="120" w:before="60" w:line="360" w:lineRule="auto"/>
      </w:pPr>
      <w:r>
        <w:rPr>
          <w:rFonts w:ascii="Cambria" w:cs="Cambria" w:eastAsia="Cambria" w:hAnsi="Cambria"/>
          <w:b/>
          <w:bCs/>
          <w:i w:val="false"/>
          <w:iCs w:val="false"/>
          <w:strike w:val="false"/>
          <w:color w:val="000000"/>
          <w:sz w:val="24"/>
          <w:szCs w:val="24"/>
        </w:rPr>
        <w:t xml:space="preserve">Q: So your testimony today is based entirely on records created by other individuals—is that correct?</w:t>
      </w:r>
    </w:p>
    <w:p>
      <w:pPr>
        <w:spacing w:after="120" w:before="60" w:line="360" w:lineRule="auto"/>
      </w:pPr>
      <w:r>
        <w:rPr>
          <w:rFonts w:ascii="Cambria" w:cs="Cambria" w:eastAsia="Cambria" w:hAnsi="Cambria"/>
          <w:b/>
          <w:bCs/>
          <w:i w:val="false"/>
          <w:iCs w:val="false"/>
          <w:strike w:val="false"/>
          <w:color w:val="000000"/>
          <w:sz w:val="24"/>
          <w:szCs w:val="24"/>
        </w:rPr>
        <w:t xml:space="preserve">Q: Can you identify, by name, the specific individual who created the original identity record for the Movant?</w:t>
      </w:r>
    </w:p>
    <w:p>
      <w:pPr>
        <w:spacing w:after="120" w:before="60" w:line="360" w:lineRule="auto"/>
      </w:pPr>
      <w:r>
        <w:rPr>
          <w:rFonts w:ascii="Cambria" w:cs="Cambria" w:eastAsia="Cambria" w:hAnsi="Cambria"/>
          <w:b/>
          <w:bCs/>
          <w:i w:val="false"/>
          <w:iCs w:val="false"/>
          <w:strike w:val="false"/>
          <w:color w:val="000000"/>
          <w:sz w:val="24"/>
          <w:szCs w:val="24"/>
        </w:rPr>
        <w:t xml:space="preserve">Q: Is that individual available to testify today?</w:t>
      </w:r>
    </w:p>
    <w:p>
      <w:pPr>
        <w:spacing w:after="120" w:before="60" w:line="360" w:lineRule="auto"/>
      </w:pPr>
      <w:r>
        <w:rPr>
          <w:rFonts w:ascii="Cambria" w:cs="Cambria" w:eastAsia="Cambria" w:hAnsi="Cambria"/>
          <w:b/>
          <w:bCs/>
          <w:i w:val="false"/>
          <w:iCs w:val="false"/>
          <w:strike w:val="false"/>
          <w:color w:val="000000"/>
          <w:sz w:val="24"/>
          <w:szCs w:val="24"/>
        </w:rPr>
        <w:t xml:space="preserve">Q: You are aware that testimony based on records created by others who are not available for cross-examination constitutes hearsay?</w:t>
      </w:r>
    </w:p>
    <w:p>
      <w:pPr>
        <w:spacing w:after="120" w:before="60" w:line="360" w:lineRule="auto"/>
      </w:pPr>
      <w:r>
        <w:rPr>
          <w:rFonts w:ascii="Cambria" w:cs="Cambria" w:eastAsia="Cambria" w:hAnsi="Cambria"/>
          <w:b/>
          <w:bCs/>
          <w:i w:val="false"/>
          <w:iCs w:val="false"/>
          <w:strike w:val="false"/>
          <w:color w:val="000000"/>
          <w:sz w:val="24"/>
          <w:szCs w:val="24"/>
        </w:rPr>
        <w:t xml:space="preserve">Q: What documents did you review in preparation for your testimony today regarding the Movant’s identity?</w:t>
      </w:r>
    </w:p>
    <w:p>
      <w:pPr>
        <w:spacing w:after="120" w:before="60" w:line="360" w:lineRule="auto"/>
      </w:pPr>
      <w:r>
        <w:rPr>
          <w:rFonts w:ascii="Cambria" w:cs="Cambria" w:eastAsia="Cambria" w:hAnsi="Cambria"/>
          <w:b/>
          <w:bCs/>
          <w:i w:val="false"/>
          <w:iCs w:val="false"/>
          <w:strike w:val="false"/>
          <w:color w:val="000000"/>
          <w:sz w:val="24"/>
          <w:szCs w:val="24"/>
        </w:rPr>
        <w:t xml:space="preserve">Q: Did you take any independent steps to verify the accuracy of those documents, beyond reviewing them?</w:t>
      </w:r>
    </w:p>
    <w:p>
      <w:pPr>
        <w:pStyle w:val="Heading2"/>
        <w:spacing w:after="120" w:before="360" w:line="312" w:lineRule="auto"/>
      </w:pPr>
      <w:r>
        <w:rPr>
          <w:rFonts w:ascii="Cambria" w:cs="Cambria" w:eastAsia="Cambria" w:hAnsi="Cambria"/>
          <w:color w:val="000000"/>
          <w:sz w:val="36"/>
          <w:szCs w:val="36"/>
        </w:rPr>
        <w:t xml:space="preserve">Section 3.2 — Challenging the Identity Assignment Process</w:t>
      </w:r>
    </w:p>
    <w:p>
      <w:pPr>
        <w:spacing w:after="120" w:before="60" w:line="360" w:lineRule="auto"/>
      </w:pPr>
      <w:r>
        <w:rPr>
          <w:rFonts w:ascii="Cambria" w:cs="Cambria" w:eastAsia="Cambria" w:hAnsi="Cambria"/>
          <w:b/>
          <w:bCs/>
          <w:i/>
          <w:iCs/>
          <w:strike w:val="false"/>
          <w:color w:val="000000"/>
          <w:sz w:val="24"/>
          <w:szCs w:val="24"/>
        </w:rPr>
        <w:t xml:space="preserve">Purpose:</w:t>
      </w:r>
      <w:r>
        <w:rPr>
          <w:rFonts w:ascii="Cambria" w:cs="Cambria" w:eastAsia="Cambria" w:hAnsi="Cambria"/>
          <w:b w:val="false"/>
          <w:bCs w:val="false"/>
          <w:i/>
          <w:iCs/>
          <w:strike w:val="false"/>
          <w:color w:val="333333"/>
          <w:sz w:val="24"/>
          <w:szCs w:val="24"/>
        </w:rPr>
        <w:t xml:space="preserve"> Establish that identity was assigned without hearing, consent, or the individual’s legal capacity.</w:t>
      </w:r>
    </w:p>
    <w:p>
      <w:pPr>
        <w:spacing w:after="120" w:before="60" w:line="360" w:lineRule="auto"/>
      </w:pPr>
      <w:r>
        <w:rPr>
          <w:rFonts w:ascii="Cambria" w:cs="Cambria" w:eastAsia="Cambria" w:hAnsi="Cambria"/>
          <w:b/>
          <w:bCs/>
          <w:i w:val="false"/>
          <w:iCs w:val="false"/>
          <w:strike w:val="false"/>
          <w:color w:val="000000"/>
          <w:sz w:val="24"/>
          <w:szCs w:val="24"/>
        </w:rPr>
        <w:t xml:space="preserve">Q: The identity record you rely upon—when was it originally created?</w:t>
      </w:r>
    </w:p>
    <w:p>
      <w:pPr>
        <w:spacing w:after="120" w:before="60" w:line="360" w:lineRule="auto"/>
      </w:pPr>
      <w:r>
        <w:rPr>
          <w:rFonts w:ascii="Cambria" w:cs="Cambria" w:eastAsia="Cambria" w:hAnsi="Cambria"/>
          <w:b/>
          <w:bCs/>
          <w:i w:val="false"/>
          <w:iCs w:val="false"/>
          <w:strike w:val="false"/>
          <w:color w:val="000000"/>
          <w:sz w:val="24"/>
          <w:szCs w:val="24"/>
        </w:rPr>
        <w:t xml:space="preserve">Q: And that record was created at or near the time of the Movant’s birth—is that correct?</w:t>
      </w:r>
    </w:p>
    <w:p>
      <w:pPr>
        <w:spacing w:after="120" w:before="60" w:line="360" w:lineRule="auto"/>
      </w:pPr>
      <w:r>
        <w:rPr>
          <w:rFonts w:ascii="Cambria" w:cs="Cambria" w:eastAsia="Cambria" w:hAnsi="Cambria"/>
          <w:b/>
          <w:bCs/>
          <w:i w:val="false"/>
          <w:iCs w:val="false"/>
          <w:strike w:val="false"/>
          <w:color w:val="000000"/>
          <w:sz w:val="24"/>
          <w:szCs w:val="24"/>
        </w:rPr>
        <w:t xml:space="preserve">Q: Who provided the information used to create that record?</w:t>
      </w:r>
    </w:p>
    <w:p>
      <w:pPr>
        <w:spacing w:after="120" w:before="60" w:line="360" w:lineRule="auto"/>
      </w:pPr>
      <w:r>
        <w:rPr>
          <w:rFonts w:ascii="Cambria" w:cs="Cambria" w:eastAsia="Cambria" w:hAnsi="Cambria"/>
          <w:b w:val="false"/>
          <w:bCs w:val="false"/>
          <w:i/>
          <w:iCs/>
          <w:strike w:val="false"/>
          <w:color w:val="000000"/>
          <w:sz w:val="24"/>
          <w:szCs w:val="24"/>
        </w:rPr>
        <w:t xml:space="preserve">[Expected answer: Hospital staff, attending physician, parents, or registrar.]</w:t>
      </w:r>
    </w:p>
    <w:p>
      <w:pPr>
        <w:spacing w:after="120" w:before="60" w:line="360" w:lineRule="auto"/>
      </w:pPr>
      <w:r>
        <w:rPr>
          <w:rFonts w:ascii="Cambria" w:cs="Cambria" w:eastAsia="Cambria" w:hAnsi="Cambria"/>
          <w:b/>
          <w:bCs/>
          <w:i w:val="false"/>
          <w:iCs w:val="false"/>
          <w:strike w:val="false"/>
          <w:color w:val="000000"/>
          <w:sz w:val="24"/>
          <w:szCs w:val="24"/>
        </w:rPr>
        <w:t xml:space="preserve">Q: So the identity was assigned by third parties—not by the individual to whom it was attributed?</w:t>
      </w:r>
    </w:p>
    <w:p>
      <w:pPr>
        <w:spacing w:after="120" w:before="60" w:line="360" w:lineRule="auto"/>
      </w:pPr>
      <w:r>
        <w:rPr>
          <w:rFonts w:ascii="Cambria" w:cs="Cambria" w:eastAsia="Cambria" w:hAnsi="Cambria"/>
          <w:b/>
          <w:bCs/>
          <w:i w:val="false"/>
          <w:iCs w:val="false"/>
          <w:strike w:val="false"/>
          <w:color w:val="000000"/>
          <w:sz w:val="24"/>
          <w:szCs w:val="24"/>
        </w:rPr>
        <w:t xml:space="preserve">Q: At the time this identity was assigned, did the individual have the legal capacity to consent to the assignment?</w:t>
      </w:r>
    </w:p>
    <w:p>
      <w:pPr>
        <w:spacing w:after="120" w:before="60" w:line="360" w:lineRule="auto"/>
      </w:pPr>
      <w:r>
        <w:rPr>
          <w:rFonts w:ascii="Cambria" w:cs="Cambria" w:eastAsia="Cambria" w:hAnsi="Cambria"/>
          <w:b w:val="false"/>
          <w:bCs w:val="false"/>
          <w:i/>
          <w:iCs/>
          <w:strike w:val="false"/>
          <w:color w:val="000000"/>
          <w:sz w:val="24"/>
          <w:szCs w:val="24"/>
        </w:rPr>
        <w:t xml:space="preserve">[Expected answer: No. The individual was a newborn.]</w:t>
      </w:r>
    </w:p>
    <w:p>
      <w:pPr>
        <w:spacing w:after="120" w:before="60" w:line="360" w:lineRule="auto"/>
      </w:pPr>
      <w:r>
        <w:rPr>
          <w:rFonts w:ascii="Cambria" w:cs="Cambria" w:eastAsia="Cambria" w:hAnsi="Cambria"/>
          <w:b/>
          <w:bCs/>
          <w:i w:val="false"/>
          <w:iCs w:val="false"/>
          <w:strike w:val="false"/>
          <w:color w:val="000000"/>
          <w:sz w:val="24"/>
          <w:szCs w:val="24"/>
        </w:rPr>
        <w:t xml:space="preserve">Q: Was a hearing of any kind held before this identity was assigned?</w:t>
      </w:r>
    </w:p>
    <w:p>
      <w:pPr>
        <w:spacing w:after="120" w:before="60" w:line="360" w:lineRule="auto"/>
      </w:pPr>
      <w:r>
        <w:rPr>
          <w:rFonts w:ascii="Cambria" w:cs="Cambria" w:eastAsia="Cambria" w:hAnsi="Cambria"/>
          <w:b/>
          <w:bCs/>
          <w:i w:val="false"/>
          <w:iCs w:val="false"/>
          <w:strike w:val="false"/>
          <w:color w:val="000000"/>
          <w:sz w:val="24"/>
          <w:szCs w:val="24"/>
        </w:rPr>
        <w:t xml:space="preserve">Q: Was notice provided to the individual that an identity was being assigned to them?</w:t>
      </w:r>
    </w:p>
    <w:p>
      <w:pPr>
        <w:spacing w:after="120" w:before="60" w:line="360" w:lineRule="auto"/>
      </w:pPr>
      <w:r>
        <w:rPr>
          <w:rFonts w:ascii="Cambria" w:cs="Cambria" w:eastAsia="Cambria" w:hAnsi="Cambria"/>
          <w:b/>
          <w:bCs/>
          <w:i w:val="false"/>
          <w:iCs w:val="false"/>
          <w:strike w:val="false"/>
          <w:color w:val="000000"/>
          <w:sz w:val="24"/>
          <w:szCs w:val="24"/>
        </w:rPr>
        <w:t xml:space="preserve">Q: Was the individual given an opportunity to contest the identity assignment at the time it was made?</w:t>
      </w:r>
    </w:p>
    <w:p>
      <w:pPr>
        <w:spacing w:after="120" w:before="60" w:line="360" w:lineRule="auto"/>
      </w:pPr>
      <w:r>
        <w:rPr>
          <w:rFonts w:ascii="Cambria" w:cs="Cambria" w:eastAsia="Cambria" w:hAnsi="Cambria"/>
          <w:b/>
          <w:bCs/>
          <w:i w:val="false"/>
          <w:iCs w:val="false"/>
          <w:strike w:val="false"/>
          <w:color w:val="000000"/>
          <w:sz w:val="24"/>
          <w:szCs w:val="24"/>
        </w:rPr>
        <w:t xml:space="preserve">Q: Has a hearing ever been held—at any point from the creation of that record to the present day—to adjudicate the accuracy of the identity assignment?</w:t>
      </w:r>
    </w:p>
    <w:p>
      <w:pPr>
        <w:spacing w:after="120" w:before="60" w:line="360" w:lineRule="auto"/>
      </w:pPr>
      <w:r>
        <w:rPr>
          <w:rFonts w:ascii="Cambria" w:cs="Cambria" w:eastAsia="Cambria" w:hAnsi="Cambria"/>
          <w:b/>
          <w:bCs/>
          <w:i w:val="false"/>
          <w:iCs w:val="false"/>
          <w:strike w:val="false"/>
          <w:color w:val="000000"/>
          <w:sz w:val="24"/>
          <w:szCs w:val="24"/>
        </w:rPr>
        <w:t xml:space="preserve">Q: So this identity has been presumed for the Movant’s entire life without a single adjudicative proceeding to verify it—is that your testimony?</w:t>
      </w:r>
    </w:p>
    <w:p>
      <w:pPr>
        <w:pStyle w:val="Heading2"/>
        <w:spacing w:after="120" w:before="360" w:line="312" w:lineRule="auto"/>
      </w:pPr>
      <w:r>
        <w:rPr>
          <w:rFonts w:ascii="Cambria" w:cs="Cambria" w:eastAsia="Cambria" w:hAnsi="Cambria"/>
          <w:color w:val="000000"/>
          <w:sz w:val="36"/>
          <w:szCs w:val="36"/>
        </w:rPr>
        <w:t xml:space="preserve">Section 3.3 — Challenging the Identity–Obligation Chain</w:t>
      </w:r>
    </w:p>
    <w:p>
      <w:pPr>
        <w:spacing w:after="120" w:before="60" w:line="360" w:lineRule="auto"/>
      </w:pPr>
      <w:r>
        <w:rPr>
          <w:rFonts w:ascii="Cambria" w:cs="Cambria" w:eastAsia="Cambria" w:hAnsi="Cambria"/>
          <w:b/>
          <w:bCs/>
          <w:i/>
          <w:iCs/>
          <w:strike w:val="false"/>
          <w:color w:val="000000"/>
          <w:sz w:val="24"/>
          <w:szCs w:val="24"/>
        </w:rPr>
        <w:t xml:space="preserve">Purpose:</w:t>
      </w:r>
      <w:r>
        <w:rPr>
          <w:rFonts w:ascii="Cambria" w:cs="Cambria" w:eastAsia="Cambria" w:hAnsi="Cambria"/>
          <w:b w:val="false"/>
          <w:bCs w:val="false"/>
          <w:i/>
          <w:iCs/>
          <w:strike w:val="false"/>
          <w:color w:val="333333"/>
          <w:sz w:val="24"/>
          <w:szCs w:val="24"/>
        </w:rPr>
        <w:t xml:space="preserve"> Demonstrate that obligations were attached to the identity without independent adjudication or consent.</w:t>
      </w:r>
    </w:p>
    <w:p>
      <w:pPr>
        <w:spacing w:after="120" w:before="60" w:line="360" w:lineRule="auto"/>
      </w:pPr>
      <w:r>
        <w:rPr>
          <w:rFonts w:ascii="Cambria" w:cs="Cambria" w:eastAsia="Cambria" w:hAnsi="Cambria"/>
          <w:b/>
          <w:bCs/>
          <w:i w:val="false"/>
          <w:iCs w:val="false"/>
          <w:strike w:val="false"/>
          <w:color w:val="000000"/>
          <w:sz w:val="24"/>
          <w:szCs w:val="24"/>
        </w:rPr>
        <w:t xml:space="preserve">Q: Based on the identity record we’ve been discussing, what obligations has the government attached to this identity?</w:t>
      </w:r>
    </w:p>
    <w:p>
      <w:pPr>
        <w:spacing w:after="120" w:before="60" w:line="360" w:lineRule="auto"/>
      </w:pPr>
      <w:r>
        <w:rPr>
          <w:rFonts w:ascii="Cambria" w:cs="Cambria" w:eastAsia="Cambria" w:hAnsi="Cambria"/>
          <w:b/>
          <w:bCs/>
          <w:i w:val="false"/>
          <w:iCs w:val="false"/>
          <w:strike w:val="false"/>
          <w:color w:val="000000"/>
          <w:sz w:val="24"/>
          <w:szCs w:val="24"/>
        </w:rPr>
        <w:t xml:space="preserve">Q: Does the identity carry tax obligations?</w:t>
      </w:r>
    </w:p>
    <w:p>
      <w:pPr>
        <w:spacing w:after="120" w:before="60" w:line="360" w:lineRule="auto"/>
      </w:pPr>
      <w:r>
        <w:rPr>
          <w:rFonts w:ascii="Cambria" w:cs="Cambria" w:eastAsia="Cambria" w:hAnsi="Cambria"/>
          <w:b/>
          <w:bCs/>
          <w:i w:val="false"/>
          <w:iCs w:val="false"/>
          <w:strike w:val="false"/>
          <w:color w:val="000000"/>
          <w:sz w:val="24"/>
          <w:szCs w:val="24"/>
        </w:rPr>
        <w:t xml:space="preserve">Q: Does it carry an obligation of jurisdictional submission to this court and to federal and state authorities?</w:t>
      </w:r>
    </w:p>
    <w:p>
      <w:pPr>
        <w:spacing w:after="120" w:before="60" w:line="360" w:lineRule="auto"/>
      </w:pPr>
      <w:r>
        <w:rPr>
          <w:rFonts w:ascii="Cambria" w:cs="Cambria" w:eastAsia="Cambria" w:hAnsi="Cambria"/>
          <w:b/>
          <w:bCs/>
          <w:i w:val="false"/>
          <w:iCs w:val="false"/>
          <w:strike w:val="false"/>
          <w:color w:val="000000"/>
          <w:sz w:val="24"/>
          <w:szCs w:val="24"/>
        </w:rPr>
        <w:t xml:space="preserve">Q: Does it carry obligations of regulatory compliance?</w:t>
      </w:r>
    </w:p>
    <w:p>
      <w:pPr>
        <w:spacing w:after="120" w:before="60" w:line="360" w:lineRule="auto"/>
      </w:pPr>
      <w:r>
        <w:rPr>
          <w:rFonts w:ascii="Cambria" w:cs="Cambria" w:eastAsia="Cambria" w:hAnsi="Cambria"/>
          <w:b/>
          <w:bCs/>
          <w:i w:val="false"/>
          <w:iCs w:val="false"/>
          <w:strike w:val="false"/>
          <w:color w:val="000000"/>
          <w:sz w:val="24"/>
          <w:szCs w:val="24"/>
        </w:rPr>
        <w:t xml:space="preserve">Q: Can you identify a specific proceeding—with a docket number and a presiding officer—in which the Movant was adjudicated into any of these obligation categories?</w:t>
      </w:r>
    </w:p>
    <w:p>
      <w:pPr>
        <w:spacing w:after="120" w:before="60" w:line="360" w:lineRule="auto"/>
      </w:pPr>
      <w:r>
        <w:rPr>
          <w:rFonts w:ascii="Cambria" w:cs="Cambria" w:eastAsia="Cambria" w:hAnsi="Cambria"/>
          <w:b w:val="false"/>
          <w:bCs w:val="false"/>
          <w:i/>
          <w:iCs/>
          <w:strike w:val="false"/>
          <w:color w:val="000000"/>
          <w:sz w:val="24"/>
          <w:szCs w:val="24"/>
        </w:rPr>
        <w:t xml:space="preserve">[Expected answer: No.]</w:t>
      </w:r>
    </w:p>
    <w:p>
      <w:pPr>
        <w:spacing w:after="120" w:before="60" w:line="360" w:lineRule="auto"/>
      </w:pPr>
      <w:r>
        <w:rPr>
          <w:rFonts w:ascii="Cambria" w:cs="Cambria" w:eastAsia="Cambria" w:hAnsi="Cambria"/>
          <w:b/>
          <w:bCs/>
          <w:i w:val="false"/>
          <w:iCs w:val="false"/>
          <w:strike w:val="false"/>
          <w:color w:val="000000"/>
          <w:sz w:val="24"/>
          <w:szCs w:val="24"/>
        </w:rPr>
        <w:t xml:space="preserve">Q: Can you identify any proceeding in which the Movant affirmatively consented to these obligations?</w:t>
      </w:r>
    </w:p>
    <w:p>
      <w:pPr>
        <w:spacing w:after="120" w:before="60" w:line="360" w:lineRule="auto"/>
      </w:pPr>
      <w:r>
        <w:rPr>
          <w:rFonts w:ascii="Cambria" w:cs="Cambria" w:eastAsia="Cambria" w:hAnsi="Cambria"/>
          <w:b/>
          <w:bCs/>
          <w:i w:val="false"/>
          <w:iCs w:val="false"/>
          <w:strike w:val="false"/>
          <w:color w:val="000000"/>
          <w:sz w:val="24"/>
          <w:szCs w:val="24"/>
        </w:rPr>
        <w:t xml:space="preserve">Q: So these obligations were attached to the identity automatically—without hearing and without consent—is that correct?</w:t>
      </w:r>
    </w:p>
    <w:p>
      <w:pPr>
        <w:spacing w:after="120" w:before="60" w:line="360" w:lineRule="auto"/>
      </w:pPr>
      <w:r>
        <w:rPr>
          <w:rFonts w:ascii="Cambria" w:cs="Cambria" w:eastAsia="Cambria" w:hAnsi="Cambria"/>
          <w:b/>
          <w:bCs/>
          <w:i w:val="false"/>
          <w:iCs w:val="false"/>
          <w:strike w:val="false"/>
          <w:color w:val="000000"/>
          <w:sz w:val="24"/>
          <w:szCs w:val="24"/>
        </w:rPr>
        <w:t xml:space="preserve">Q: And the government now seeks to enforce these obligations against the Movant, correct?</w:t>
      </w:r>
    </w:p>
    <w:p>
      <w:pPr>
        <w:spacing w:after="120" w:before="60" w:line="360" w:lineRule="auto"/>
      </w:pPr>
      <w:r>
        <w:rPr>
          <w:rFonts w:ascii="Cambria" w:cs="Cambria" w:eastAsia="Cambria" w:hAnsi="Cambria"/>
          <w:b/>
          <w:bCs/>
          <w:i w:val="false"/>
          <w:iCs w:val="false"/>
          <w:strike w:val="false"/>
          <w:color w:val="000000"/>
          <w:sz w:val="24"/>
          <w:szCs w:val="24"/>
        </w:rPr>
        <w:t xml:space="preserve">Q: Can you explain the constitutional basis for imposing obligations on an individual based solely on an unadjudicated identity presumption?</w:t>
      </w:r>
    </w:p>
    <w:p>
      <w:pPr>
        <w:pStyle w:val="Heading2"/>
        <w:spacing w:after="120" w:before="360" w:line="312" w:lineRule="auto"/>
      </w:pPr>
      <w:r>
        <w:rPr>
          <w:rFonts w:ascii="Cambria" w:cs="Cambria" w:eastAsia="Cambria" w:hAnsi="Cambria"/>
          <w:color w:val="000000"/>
          <w:sz w:val="36"/>
          <w:szCs w:val="36"/>
        </w:rPr>
        <w:t xml:space="preserve">Section 3.4 — Challenging Foundational Documents</w:t>
      </w:r>
    </w:p>
    <w:p>
      <w:pPr>
        <w:spacing w:after="120" w:before="60" w:line="360" w:lineRule="auto"/>
      </w:pPr>
      <w:r>
        <w:rPr>
          <w:rFonts w:ascii="Cambria" w:cs="Cambria" w:eastAsia="Cambria" w:hAnsi="Cambria"/>
          <w:b/>
          <w:bCs/>
          <w:i/>
          <w:iCs/>
          <w:strike w:val="false"/>
          <w:color w:val="000000"/>
          <w:sz w:val="24"/>
          <w:szCs w:val="24"/>
        </w:rPr>
        <w:t xml:space="preserve">Purpose:</w:t>
      </w:r>
      <w:r>
        <w:rPr>
          <w:rFonts w:ascii="Cambria" w:cs="Cambria" w:eastAsia="Cambria" w:hAnsi="Cambria"/>
          <w:b w:val="false"/>
          <w:bCs w:val="false"/>
          <w:i/>
          <w:iCs/>
          <w:strike w:val="false"/>
          <w:color w:val="333333"/>
          <w:sz w:val="24"/>
          <w:szCs w:val="24"/>
        </w:rPr>
        <w:t xml:space="preserve"> Challenge the evidentiary reliability of birth certificates, Social Security records, and government databases.</w:t>
      </w:r>
    </w:p>
    <w:p>
      <w:pPr>
        <w:spacing w:after="120" w:before="60" w:line="360" w:lineRule="auto"/>
      </w:pPr>
      <w:r>
        <w:rPr>
          <w:rFonts w:ascii="Cambria" w:cs="Cambria" w:eastAsia="Cambria" w:hAnsi="Cambria"/>
          <w:b/>
          <w:bCs/>
          <w:i w:val="false"/>
          <w:iCs w:val="false"/>
          <w:strike w:val="false"/>
          <w:color w:val="000000"/>
          <w:sz w:val="24"/>
          <w:szCs w:val="24"/>
        </w:rPr>
        <w:t xml:space="preserve">Q: The primary document supporting the identity assignment is a birth certificate—is that correct?</w:t>
      </w:r>
    </w:p>
    <w:p>
      <w:pPr>
        <w:spacing w:after="120" w:before="60" w:line="360" w:lineRule="auto"/>
      </w:pPr>
      <w:r>
        <w:rPr>
          <w:rFonts w:ascii="Cambria" w:cs="Cambria" w:eastAsia="Cambria" w:hAnsi="Cambria"/>
          <w:b/>
          <w:bCs/>
          <w:i w:val="false"/>
          <w:iCs w:val="false"/>
          <w:strike w:val="false"/>
          <w:color w:val="000000"/>
          <w:sz w:val="24"/>
          <w:szCs w:val="24"/>
        </w:rPr>
        <w:t xml:space="preserve">Q: Who created that birth certificate?</w:t>
      </w:r>
    </w:p>
    <w:p>
      <w:pPr>
        <w:spacing w:after="120" w:before="60" w:line="360" w:lineRule="auto"/>
      </w:pPr>
      <w:r>
        <w:rPr>
          <w:rFonts w:ascii="Cambria" w:cs="Cambria" w:eastAsia="Cambria" w:hAnsi="Cambria"/>
          <w:b/>
          <w:bCs/>
          <w:i w:val="false"/>
          <w:iCs w:val="false"/>
          <w:strike w:val="false"/>
          <w:color w:val="000000"/>
          <w:sz w:val="24"/>
          <w:szCs w:val="24"/>
        </w:rPr>
        <w:t xml:space="preserve">Q: Was it created by the individual named on it?</w:t>
      </w:r>
    </w:p>
    <w:p>
      <w:pPr>
        <w:spacing w:after="120" w:before="60" w:line="360" w:lineRule="auto"/>
      </w:pPr>
      <w:r>
        <w:rPr>
          <w:rFonts w:ascii="Cambria" w:cs="Cambria" w:eastAsia="Cambria" w:hAnsi="Cambria"/>
          <w:b/>
          <w:bCs/>
          <w:i w:val="false"/>
          <w:iCs w:val="false"/>
          <w:strike w:val="false"/>
          <w:color w:val="000000"/>
          <w:sz w:val="24"/>
          <w:szCs w:val="24"/>
        </w:rPr>
        <w:t xml:space="preserve">Q: Has the individual named on the birth certificate ever authenticated it—that is, has the individual ever sworn under oath that the information contained in the birth certificate is accurate?</w:t>
      </w:r>
    </w:p>
    <w:p>
      <w:pPr>
        <w:spacing w:after="120" w:before="60" w:line="360" w:lineRule="auto"/>
      </w:pPr>
      <w:r>
        <w:rPr>
          <w:rFonts w:ascii="Cambria" w:cs="Cambria" w:eastAsia="Cambria" w:hAnsi="Cambria"/>
          <w:b/>
          <w:bCs/>
          <w:i w:val="false"/>
          <w:iCs w:val="false"/>
          <w:strike w:val="false"/>
          <w:color w:val="000000"/>
          <w:sz w:val="24"/>
          <w:szCs w:val="24"/>
        </w:rPr>
        <w:t xml:space="preserve">Q: You would agree that a document created by a third party, not authenticated by the individual it purports to describe, is hearsay?</w:t>
      </w:r>
    </w:p>
    <w:p>
      <w:pPr>
        <w:spacing w:after="120" w:before="60" w:line="360" w:lineRule="auto"/>
      </w:pPr>
      <w:r>
        <w:rPr>
          <w:rFonts w:ascii="Cambria" w:cs="Cambria" w:eastAsia="Cambria" w:hAnsi="Cambria"/>
          <w:b/>
          <w:bCs/>
          <w:i w:val="false"/>
          <w:iCs w:val="false"/>
          <w:strike w:val="false"/>
          <w:color w:val="000000"/>
          <w:sz w:val="24"/>
          <w:szCs w:val="24"/>
        </w:rPr>
        <w:t xml:space="preserve">Q: Let’s discuss the Social Security number attributed to this identity. Who applied for that number?</w:t>
      </w:r>
    </w:p>
    <w:p>
      <w:pPr>
        <w:spacing w:after="120" w:before="60" w:line="360" w:lineRule="auto"/>
      </w:pPr>
      <w:r>
        <w:rPr>
          <w:rFonts w:ascii="Cambria" w:cs="Cambria" w:eastAsia="Cambria" w:hAnsi="Cambria"/>
          <w:b w:val="false"/>
          <w:bCs w:val="false"/>
          <w:i/>
          <w:iCs/>
          <w:strike w:val="false"/>
          <w:color w:val="000000"/>
          <w:sz w:val="24"/>
          <w:szCs w:val="24"/>
        </w:rPr>
        <w:t xml:space="preserve">[Expected answer: A parent or guardian.]</w:t>
      </w:r>
    </w:p>
    <w:p>
      <w:pPr>
        <w:spacing w:after="120" w:before="60" w:line="360" w:lineRule="auto"/>
      </w:pPr>
      <w:r>
        <w:rPr>
          <w:rFonts w:ascii="Cambria" w:cs="Cambria" w:eastAsia="Cambria" w:hAnsi="Cambria"/>
          <w:b/>
          <w:bCs/>
          <w:i w:val="false"/>
          <w:iCs w:val="false"/>
          <w:strike w:val="false"/>
          <w:color w:val="000000"/>
          <w:sz w:val="24"/>
          <w:szCs w:val="24"/>
        </w:rPr>
        <w:t xml:space="preserve">Q: So the individual did not personally apply for the Social Security number?</w:t>
      </w:r>
    </w:p>
    <w:p>
      <w:pPr>
        <w:spacing w:after="120" w:before="60" w:line="360" w:lineRule="auto"/>
      </w:pPr>
      <w:r>
        <w:rPr>
          <w:rFonts w:ascii="Cambria" w:cs="Cambria" w:eastAsia="Cambria" w:hAnsi="Cambria"/>
          <w:b/>
          <w:bCs/>
          <w:i w:val="false"/>
          <w:iCs w:val="false"/>
          <w:strike w:val="false"/>
          <w:color w:val="000000"/>
          <w:sz w:val="24"/>
          <w:szCs w:val="24"/>
        </w:rPr>
        <w:t xml:space="preserve">Q: Can you establish a complete chain of custody for the identity records from their creation to the present day?</w:t>
      </w:r>
    </w:p>
    <w:p>
      <w:pPr>
        <w:spacing w:after="120" w:before="60" w:line="360" w:lineRule="auto"/>
      </w:pPr>
      <w:r>
        <w:rPr>
          <w:rFonts w:ascii="Cambria" w:cs="Cambria" w:eastAsia="Cambria" w:hAnsi="Cambria"/>
          <w:b/>
          <w:bCs/>
          <w:i w:val="false"/>
          <w:iCs w:val="false"/>
          <w:strike w:val="false"/>
          <w:color w:val="000000"/>
          <w:sz w:val="24"/>
          <w:szCs w:val="24"/>
        </w:rPr>
        <w:t xml:space="preserve">Q: Have those records ever been amended, corrected, or updated by parties other than the individual?</w:t>
      </w:r>
    </w:p>
    <w:p>
      <w:pPr>
        <w:spacing w:after="120" w:before="60" w:line="360" w:lineRule="auto"/>
      </w:pPr>
      <w:r>
        <w:rPr>
          <w:rFonts w:ascii="Cambria" w:cs="Cambria" w:eastAsia="Cambria" w:hAnsi="Cambria"/>
          <w:b/>
          <w:bCs/>
          <w:i w:val="false"/>
          <w:iCs w:val="false"/>
          <w:strike w:val="false"/>
          <w:color w:val="000000"/>
          <w:sz w:val="24"/>
          <w:szCs w:val="24"/>
        </w:rPr>
        <w:t xml:space="preserve">Q: Can you certify that no errors, omissions, or unauthorized alterations exist in those records?</w:t>
      </w:r>
    </w:p>
    <w:p>
      <w:pPr>
        <w:spacing w:after="120" w:before="60" w:line="360" w:lineRule="auto"/>
      </w:pPr>
      <w:r>
        <w:rPr>
          <w:rFonts w:ascii="Cambria" w:cs="Cambria" w:eastAsia="Cambria" w:hAnsi="Cambria"/>
          <w:b/>
          <w:bCs/>
          <w:i w:val="false"/>
          <w:iCs w:val="false"/>
          <w:strike w:val="false"/>
          <w:color w:val="000000"/>
          <w:sz w:val="24"/>
          <w:szCs w:val="24"/>
        </w:rPr>
        <w:t xml:space="preserve">Q: You are relying on these documents as the sole evidentiary foundation for the government’s identity determination—yet these documents are hearsay, created by third parties, never authenticated by the individual, and subject to an unverified chain of custody. Is that a fair summary?</w:t>
      </w:r>
    </w:p>
    <w:p>
      <w:pPr>
        <w:pStyle w:val="Heading2"/>
        <w:spacing w:after="120" w:before="360" w:line="312" w:lineRule="auto"/>
      </w:pPr>
      <w:r>
        <w:rPr>
          <w:rFonts w:ascii="Cambria" w:cs="Cambria" w:eastAsia="Cambria" w:hAnsi="Cambria"/>
          <w:color w:val="000000"/>
          <w:sz w:val="36"/>
          <w:szCs w:val="36"/>
        </w:rPr>
        <w:t xml:space="preserve">Section 3.5 — The Consent Trap</w:t>
      </w:r>
    </w:p>
    <w:p>
      <w:pPr>
        <w:spacing w:after="120" w:before="60" w:line="360" w:lineRule="auto"/>
      </w:pPr>
      <w:r>
        <w:rPr>
          <w:rFonts w:ascii="Cambria" w:cs="Cambria" w:eastAsia="Cambria" w:hAnsi="Cambria"/>
          <w:b/>
          <w:bCs/>
          <w:i/>
          <w:iCs/>
          <w:strike w:val="false"/>
          <w:color w:val="000000"/>
          <w:sz w:val="24"/>
          <w:szCs w:val="24"/>
        </w:rPr>
        <w:t xml:space="preserve">Purpose:</w:t>
      </w:r>
      <w:r>
        <w:rPr>
          <w:rFonts w:ascii="Cambria" w:cs="Cambria" w:eastAsia="Cambria" w:hAnsi="Cambria"/>
          <w:b w:val="false"/>
          <w:bCs w:val="false"/>
          <w:i/>
          <w:iCs/>
          <w:strike w:val="false"/>
          <w:color w:val="333333"/>
          <w:sz w:val="24"/>
          <w:szCs w:val="24"/>
        </w:rPr>
        <w:t xml:space="preserve"> Establish the absence of informed, voluntary consent and distinguish practical use of a name from legal acceptance of an identity framework.</w:t>
      </w:r>
    </w:p>
    <w:p>
      <w:pPr>
        <w:spacing w:after="120" w:before="60" w:line="360" w:lineRule="auto"/>
      </w:pPr>
      <w:r>
        <w:rPr>
          <w:rFonts w:ascii="Cambria" w:cs="Cambria" w:eastAsia="Cambria" w:hAnsi="Cambria"/>
          <w:b/>
          <w:bCs/>
          <w:i w:val="false"/>
          <w:iCs w:val="false"/>
          <w:strike w:val="false"/>
          <w:color w:val="000000"/>
          <w:sz w:val="24"/>
          <w:szCs w:val="24"/>
        </w:rPr>
        <w:t xml:space="preserve">Q: Can you produce a document—signed by the Movant—in which the Movant expressly consented to the legal identity the government has assigned?</w:t>
      </w:r>
    </w:p>
    <w:p>
      <w:pPr>
        <w:spacing w:after="120" w:before="60" w:line="360" w:lineRule="auto"/>
      </w:pPr>
      <w:r>
        <w:rPr>
          <w:rFonts w:ascii="Cambria" w:cs="Cambria" w:eastAsia="Cambria" w:hAnsi="Cambria"/>
          <w:b/>
          <w:bCs/>
          <w:i w:val="false"/>
          <w:iCs w:val="false"/>
          <w:strike w:val="false"/>
          <w:color w:val="000000"/>
          <w:sz w:val="24"/>
          <w:szCs w:val="24"/>
        </w:rPr>
        <w:t xml:space="preserve">Q: Can you produce evidence that the Movant was informed of all obligations that would attach to this identity at the time the identity was assigned?</w:t>
      </w:r>
    </w:p>
    <w:p>
      <w:pPr>
        <w:spacing w:after="120" w:before="60" w:line="360" w:lineRule="auto"/>
      </w:pPr>
      <w:r>
        <w:rPr>
          <w:rFonts w:ascii="Cambria" w:cs="Cambria" w:eastAsia="Cambria" w:hAnsi="Cambria"/>
          <w:b/>
          <w:bCs/>
          <w:i w:val="false"/>
          <w:iCs w:val="false"/>
          <w:strike w:val="false"/>
          <w:color w:val="000000"/>
          <w:sz w:val="24"/>
          <w:szCs w:val="24"/>
        </w:rPr>
        <w:t xml:space="preserve">Q: Can you produce evidence that the Movant was informed of the right to refuse or contest the identity assignment?</w:t>
      </w:r>
    </w:p>
    <w:p>
      <w:pPr>
        <w:spacing w:after="120" w:before="60" w:line="360" w:lineRule="auto"/>
      </w:pPr>
      <w:r>
        <w:rPr>
          <w:rFonts w:ascii="Cambria" w:cs="Cambria" w:eastAsia="Cambria" w:hAnsi="Cambria"/>
          <w:b/>
          <w:bCs/>
          <w:i w:val="false"/>
          <w:iCs w:val="false"/>
          <w:strike w:val="false"/>
          <w:color w:val="000000"/>
          <w:sz w:val="24"/>
          <w:szCs w:val="24"/>
        </w:rPr>
        <w:t xml:space="preserve">Q: Is it the government’s position that the Movant consented to the identity by using a name on government forms?</w:t>
      </w:r>
    </w:p>
    <w:p>
      <w:pPr>
        <w:spacing w:after="120" w:before="60" w:line="360" w:lineRule="auto"/>
      </w:pPr>
      <w:r>
        <w:rPr>
          <w:rFonts w:ascii="Cambria" w:cs="Cambria" w:eastAsia="Cambria" w:hAnsi="Cambria"/>
          <w:b/>
          <w:bCs/>
          <w:i w:val="false"/>
          <w:iCs w:val="false"/>
          <w:strike w:val="false"/>
          <w:color w:val="000000"/>
          <w:sz w:val="24"/>
          <w:szCs w:val="24"/>
        </w:rPr>
        <w:t xml:space="preserve">Q: You would agree that using a name is a practical necessity in a society that requires identification for virtually all interactions—commercial, governmental, and personal?</w:t>
      </w:r>
    </w:p>
    <w:p>
      <w:pPr>
        <w:spacing w:after="120" w:before="60" w:line="360" w:lineRule="auto"/>
      </w:pPr>
      <w:r>
        <w:rPr>
          <w:rFonts w:ascii="Cambria" w:cs="Cambria" w:eastAsia="Cambria" w:hAnsi="Cambria"/>
          <w:b/>
          <w:bCs/>
          <w:i w:val="false"/>
          <w:iCs w:val="false"/>
          <w:strike w:val="false"/>
          <w:color w:val="000000"/>
          <w:sz w:val="24"/>
          <w:szCs w:val="24"/>
        </w:rPr>
        <w:t xml:space="preserve">Q: Would you agree that there is a distinction between using a name out of practical necessity and consenting to a comprehensive legal identity framework with all its attendant obligations?</w:t>
      </w:r>
    </w:p>
    <w:p>
      <w:pPr>
        <w:spacing w:after="120" w:before="60" w:line="360" w:lineRule="auto"/>
      </w:pPr>
      <w:r>
        <w:rPr>
          <w:rFonts w:ascii="Cambria" w:cs="Cambria" w:eastAsia="Cambria" w:hAnsi="Cambria"/>
          <w:b/>
          <w:bCs/>
          <w:i w:val="false"/>
          <w:iCs w:val="false"/>
          <w:strike w:val="false"/>
          <w:color w:val="000000"/>
          <w:sz w:val="24"/>
          <w:szCs w:val="24"/>
        </w:rPr>
        <w:t xml:space="preserve">Q: If a person uses a name on a tax return because the government requires a name on the form, does that act alone constitute voluntary consent to the entire identity and tax framework?</w:t>
      </w:r>
    </w:p>
    <w:p>
      <w:pPr>
        <w:spacing w:after="120" w:before="60" w:line="360" w:lineRule="auto"/>
      </w:pPr>
      <w:r>
        <w:rPr>
          <w:rFonts w:ascii="Cambria" w:cs="Cambria" w:eastAsia="Cambria" w:hAnsi="Cambria"/>
          <w:b/>
          <w:bCs/>
          <w:i w:val="false"/>
          <w:iCs w:val="false"/>
          <w:strike w:val="false"/>
          <w:color w:val="000000"/>
          <w:sz w:val="24"/>
          <w:szCs w:val="24"/>
        </w:rPr>
        <w:t xml:space="preserve">Q: In contract law, consent must be informed, voluntary, and free from duress. Can you identify how the Movant’s alleged consent to this identity meets any of those requirements?</w:t>
      </w:r>
    </w:p>
    <w:p>
      <w:pPr>
        <w:spacing w:after="120" w:before="60" w:line="360" w:lineRule="auto"/>
      </w:pPr>
      <w:r>
        <w:rPr>
          <w:rFonts w:ascii="Cambria" w:cs="Cambria" w:eastAsia="Cambria" w:hAnsi="Cambria"/>
          <w:b/>
          <w:bCs/>
          <w:i w:val="false"/>
          <w:iCs w:val="false"/>
          <w:strike w:val="false"/>
          <w:color w:val="000000"/>
          <w:sz w:val="24"/>
          <w:szCs w:val="24"/>
        </w:rPr>
        <w:t xml:space="preserve">Q: Would you agree that if the government compels the use of an identity as a prerequisite for participation in society, any “consent” derived from that use is obtained under duress?</w:t>
      </w:r>
    </w:p>
    <w:p>
      <w:pPr>
        <w:pStyle w:val="Heading2"/>
        <w:spacing w:after="120" w:before="360" w:line="312" w:lineRule="auto"/>
      </w:pPr>
      <w:r>
        <w:rPr>
          <w:rFonts w:ascii="Cambria" w:cs="Cambria" w:eastAsia="Cambria" w:hAnsi="Cambria"/>
          <w:color w:val="000000"/>
          <w:sz w:val="36"/>
          <w:szCs w:val="36"/>
        </w:rPr>
        <w:t xml:space="preserve">Section 3.6 — Closing the Loop</w:t>
      </w:r>
    </w:p>
    <w:p>
      <w:pPr>
        <w:spacing w:after="120" w:before="60" w:line="360" w:lineRule="auto"/>
      </w:pPr>
      <w:r>
        <w:rPr>
          <w:rFonts w:ascii="Cambria" w:cs="Cambria" w:eastAsia="Cambria" w:hAnsi="Cambria"/>
          <w:b/>
          <w:bCs/>
          <w:i/>
          <w:iCs/>
          <w:strike w:val="false"/>
          <w:color w:val="000000"/>
          <w:sz w:val="24"/>
          <w:szCs w:val="24"/>
        </w:rPr>
        <w:t xml:space="preserve">Purpose:</w:t>
      </w:r>
      <w:r>
        <w:rPr>
          <w:rFonts w:ascii="Cambria" w:cs="Cambria" w:eastAsia="Cambria" w:hAnsi="Cambria"/>
          <w:b w:val="false"/>
          <w:bCs w:val="false"/>
          <w:i/>
          <w:iCs/>
          <w:strike w:val="false"/>
          <w:color w:val="333333"/>
          <w:sz w:val="24"/>
          <w:szCs w:val="24"/>
        </w:rPr>
        <w:t xml:space="preserve"> Force concessions establishing the constitutional defect. Summarize the entire examination.</w:t>
      </w:r>
    </w:p>
    <w:p>
      <w:pPr>
        <w:spacing w:after="120" w:before="60" w:line="360" w:lineRule="auto"/>
      </w:pPr>
      <w:r>
        <w:rPr>
          <w:rFonts w:ascii="Cambria" w:cs="Cambria" w:eastAsia="Cambria" w:hAnsi="Cambria"/>
          <w:b/>
          <w:bCs/>
          <w:i w:val="false"/>
          <w:iCs w:val="false"/>
          <w:strike w:val="false"/>
          <w:color w:val="000000"/>
          <w:sz w:val="24"/>
          <w:szCs w:val="24"/>
        </w:rPr>
        <w:t xml:space="preserve">Q: Let me summarize. No hearing was ever held to adjudicate the Movant’s identity—correct?</w:t>
      </w:r>
    </w:p>
    <w:p>
      <w:pPr>
        <w:spacing w:after="120" w:before="60" w:line="360" w:lineRule="auto"/>
      </w:pPr>
      <w:r>
        <w:rPr>
          <w:rFonts w:ascii="Cambria" w:cs="Cambria" w:eastAsia="Cambria" w:hAnsi="Cambria"/>
          <w:b/>
          <w:bCs/>
          <w:i w:val="false"/>
          <w:iCs w:val="false"/>
          <w:strike w:val="false"/>
          <w:color w:val="000000"/>
          <w:sz w:val="24"/>
          <w:szCs w:val="24"/>
        </w:rPr>
        <w:t xml:space="preserve">Q: No informed, voluntary consent to the identity assignment was ever obtained from the Movant—correct?</w:t>
      </w:r>
    </w:p>
    <w:p>
      <w:pPr>
        <w:spacing w:after="120" w:before="60" w:line="360" w:lineRule="auto"/>
      </w:pPr>
      <w:r>
        <w:rPr>
          <w:rFonts w:ascii="Cambria" w:cs="Cambria" w:eastAsia="Cambria" w:hAnsi="Cambria"/>
          <w:b/>
          <w:bCs/>
          <w:i w:val="false"/>
          <w:iCs w:val="false"/>
          <w:strike w:val="false"/>
          <w:color w:val="000000"/>
          <w:sz w:val="24"/>
          <w:szCs w:val="24"/>
        </w:rPr>
        <w:t xml:space="preserve">Q: The identity was presumed based on records created by third parties at a time when the Movant lacked legal capacity—correct?</w:t>
      </w:r>
    </w:p>
    <w:p>
      <w:pPr>
        <w:spacing w:after="120" w:before="60" w:line="360" w:lineRule="auto"/>
      </w:pPr>
      <w:r>
        <w:rPr>
          <w:rFonts w:ascii="Cambria" w:cs="Cambria" w:eastAsia="Cambria" w:hAnsi="Cambria"/>
          <w:b/>
          <w:bCs/>
          <w:i w:val="false"/>
          <w:iCs w:val="false"/>
          <w:strike w:val="false"/>
          <w:color w:val="000000"/>
          <w:sz w:val="24"/>
          <w:szCs w:val="24"/>
        </w:rPr>
        <w:t xml:space="preserve">Q: Obligations—including tax liability, jurisdictional submission, and regulatory compliance—were attached to that presumed identity without independent adjudication—correct?</w:t>
      </w:r>
    </w:p>
    <w:p>
      <w:pPr>
        <w:spacing w:after="120" w:before="60" w:line="360" w:lineRule="auto"/>
      </w:pPr>
      <w:r>
        <w:rPr>
          <w:rFonts w:ascii="Cambria" w:cs="Cambria" w:eastAsia="Cambria" w:hAnsi="Cambria"/>
          <w:b/>
          <w:bCs/>
          <w:i w:val="false"/>
          <w:iCs w:val="false"/>
          <w:strike w:val="false"/>
          <w:color w:val="000000"/>
          <w:sz w:val="24"/>
          <w:szCs w:val="24"/>
        </w:rPr>
        <w:t xml:space="preserve">Q: The government now seeks to enforce those obligations and, if necessary, deprive the Movant of liberty or property for noncompliance—correct?</w:t>
      </w:r>
    </w:p>
    <w:p>
      <w:pPr>
        <w:spacing w:after="120" w:before="60" w:line="360" w:lineRule="auto"/>
      </w:pPr>
      <w:r>
        <w:rPr>
          <w:rFonts w:ascii="Cambria" w:cs="Cambria" w:eastAsia="Cambria" w:hAnsi="Cambria"/>
          <w:b/>
          <w:bCs/>
          <w:i w:val="false"/>
          <w:iCs w:val="false"/>
          <w:strike w:val="false"/>
          <w:color w:val="000000"/>
          <w:sz w:val="24"/>
          <w:szCs w:val="24"/>
        </w:rPr>
        <w:t xml:space="preserve">Q: And the entire foundation for that enforcement is an identity that was never adjudicated, never consented to, and never verified through any constitutional process—correct?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360"/>
              <w:left w:type="dxa" w:w="504"/>
              <w:bottom w:type="dxa" w:w="360"/>
              <w:right w:type="dxa" w:w="504"/>
            </w:tcMar>
          </w:tcPr>
          <w:p>
            <w:pPr>
              <w:spacing w:after="60" w:line="360" w:lineRule="auto"/>
            </w:pPr>
            <w:r>
              <w:rPr>
                <w:rFonts w:ascii="Cambria" w:cs="Cambria" w:eastAsia="Cambria" w:hAnsi="Cambria"/>
                <w:b/>
                <w:bCs/>
                <w:i w:val="false"/>
                <w:iCs w:val="false"/>
                <w:strike w:val="false"/>
                <w:color w:val="000000"/>
                <w:sz w:val="24"/>
                <w:szCs w:val="24"/>
              </w:rPr>
              <w:t xml:space="preserve">CLOSING QUESTION:</w:t>
            </w:r>
          </w:p>
          <w:p>
            <w:pPr>
              <w:spacing w:after="0" w:line="360" w:lineRule="auto"/>
            </w:pPr>
            <w:r>
              <w:rPr>
                <w:rFonts w:ascii="Cambria" w:cs="Cambria" w:eastAsia="Cambria" w:hAnsi="Cambria"/>
                <w:b/>
                <w:bCs/>
                <w:i w:val="false"/>
                <w:iCs w:val="false"/>
                <w:strike w:val="false"/>
                <w:color w:val="000000"/>
                <w:sz w:val="24"/>
                <w:szCs w:val="24"/>
              </w:rPr>
              <w:t xml:space="preserve">“So to be clear: the government assigned an identity, attached obligations to that identity, and enforced those obligations—all without ever holding a hearing to determine whether the identity was accurate or consented to. Is that correct?”</w:t>
            </w:r>
          </w:p>
        </w:tc>
      </w:tr>
    </w:tbl>
    <w:p>
      <w:pPr>
        <w:spacing w:after="240" w:before="0"/>
      </w:pP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8"/>
          <w:szCs w:val="48"/>
        </w:rPr>
        <w:t xml:space="preserve">APPENDIX A</w:t>
      </w:r>
    </w:p>
    <w:p>
      <w:pPr>
        <w:pStyle w:val="Heading2"/>
        <w:spacing w:after="120" w:before="360" w:line="312" w:lineRule="auto"/>
        <w:jc w:val="center"/>
      </w:pPr>
      <w:r>
        <w:rPr>
          <w:rFonts w:ascii="Cambria" w:cs="Cambria" w:eastAsia="Cambria" w:hAnsi="Cambria"/>
          <w:color w:val="000000"/>
          <w:sz w:val="36"/>
          <w:szCs w:val="36"/>
        </w:rPr>
        <w:t xml:space="preserve">TABLE OF AUTHORITIES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5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w:t>
            </w:r>
          </w:p>
        </w:tc>
        <w:tc>
          <w:tcPr>
            <w:tcW w:type="pct" w:w="2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Citation</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Referenced In</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Addington v. Texas</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441 U.S. 418 (1979)</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 II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Boy Scouts of America v. Dale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530 U.S. 640 (2000)</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Parts I, II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Cleveland Board of Education v. Loudermill</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470 U.S. 532 (1985)</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Parts I, II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Goldberg v. Kelly</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397 U.S. 254 (1970)</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Parts I, II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Mathews v. Eldridge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424 U.S. 319 (1976)</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Parts I, II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NAACP v. Alabama ex rel. Patterson</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357 U.S. 449 (1958)</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Parts I, II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Planned Parenthood of Southeastern Pa. v. Casey</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505 U.S. 833 (1992)</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 I</w:t>
            </w:r>
          </w:p>
        </w:tc>
      </w:tr>
      <w:tr>
        <w:trPr>
          <w:tblHeader w:val="false"/>
        </w:trPr>
        <w:tc>
          <w:tcPr>
            <w:tcW w:type="pct" w:w="54%"/>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Roberts v. United States Jaycees</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468 U.S. 609 (1984)</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Parts I, II</w:t>
            </w:r>
          </w:p>
        </w:tc>
      </w:tr>
    </w:tbl>
    <w:p>
      <w:pPr>
        <w:spacing w:after="200" w:before="0"/>
      </w:pP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8"/>
          <w:szCs w:val="48"/>
        </w:rPr>
        <w:t xml:space="preserve">APPENDIX B</w:t>
      </w:r>
    </w:p>
    <w:p>
      <w:pPr>
        <w:pStyle w:val="Heading2"/>
        <w:spacing w:after="120" w:before="360" w:line="312" w:lineRule="auto"/>
        <w:jc w:val="center"/>
      </w:pPr>
      <w:r>
        <w:rPr>
          <w:rFonts w:ascii="Cambria" w:cs="Cambria" w:eastAsia="Cambria" w:hAnsi="Cambria"/>
          <w:color w:val="000000"/>
          <w:sz w:val="36"/>
          <w:szCs w:val="36"/>
        </w:rPr>
        <w:t xml:space="preserve">GLOSSARY OF TERMS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Term</w:t>
            </w:r>
          </w:p>
        </w:tc>
        <w:tc>
          <w:tcPr>
            <w:tcW w:type="pct" w:w="8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Definition</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Identity Presumption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government’s practice of assigning or assuming a legal identity for an individual without conducting an adjudicative proceeding, obtaining consent, or meeting any evidentiary standard. The presumed identity thereafter serves as the basis for all government actions against the individual.</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Status Assignment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attachment of legal status categories—such as citizen, resident, taxpayer, or licensee—to a presumed identity. Status assignments carry mandatory obligations and are imposed without independent adjudication of whether the individual meets the criteria for the assigned status.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Association Compulsion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forced enrollment of an individual into government-defined associational structures (tax systems, regulatory frameworks, jurisdictional memberships) as a consequence of identity and status assignments. Association compulsion occurs without the individual’s informed, voluntary consent and implicates First Amendment associational rights.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Presumption Chain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sequential, self-reinforcing process by which the government moves from identity presumption to liberty deprivation: Identity Presumption → Status Assignment → Obligation Attachment → Association Compulsion → Liberty Deprivation. Each step is constitutionally defective, and each subsequent step inherits the defects of all preceding steps.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Identity Hearing</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formal evidentiary proceeding, demanded by due process, at which the government bears the burden of proving the accuracy of its identity determination by clear and convincing evidence. The individual is afforded notice, an opportunity to be heard, the right to challenge evidence, and the right to cross-examine witnesses.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Burden of Proof (Identity Context)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obligation of the government—as the party asserting the individual’s identity—to produce sufficient evidence to establish the identity determination. In the identity context, the appropriate standard is clear and convincing evidence, reflecting the magnitude of the interests at stake. </w:t>
            </w:r>
            <w:r>
              <w:rPr>
                <w:rFonts w:ascii="Cambria" w:cs="Cambria" w:eastAsia="Cambria" w:hAnsi="Cambria"/>
                <w:b w:val="false"/>
                <w:bCs w:val="false"/>
                <w:i/>
                <w:iCs/>
                <w:strike w:val="false"/>
                <w:color w:val="000000"/>
                <w:sz w:val="24"/>
                <w:szCs w:val="24"/>
              </w:rPr>
              <w:t xml:space="preserve">See Addington v. Texas</w:t>
            </w:r>
            <w:r>
              <w:rPr>
                <w:rFonts w:ascii="Cambria" w:cs="Cambria" w:eastAsia="Cambria" w:hAnsi="Cambria"/>
                <w:b w:val="false"/>
                <w:bCs w:val="false"/>
                <w:i w:val="false"/>
                <w:iCs w:val="false"/>
                <w:strike w:val="false"/>
                <w:color w:val="000000"/>
                <w:sz w:val="24"/>
                <w:szCs w:val="24"/>
              </w:rPr>
              <w:t xml:space="preserve">, 441 U.S. 418 (1979).</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Foundational Documents</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government records upon which identity presumptions are based, including birth certificates, Social Security records, and government database entries. These documents are typically created by third parties (hospital staff, registrars, government clerks) without the individual’s knowledge, participation, or authentication, and are subject to hearsay, chain-of-custody, and authentication challenges.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Consent (vs. Acquiescence)</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 the identity context, </w:t>
            </w:r>
            <w:r>
              <w:rPr>
                <w:rFonts w:ascii="Cambria" w:cs="Cambria" w:eastAsia="Cambria" w:hAnsi="Cambria"/>
                <w:b/>
                <w:bCs/>
                <w:i w:val="false"/>
                <w:iCs w:val="false"/>
                <w:strike w:val="false"/>
                <w:color w:val="000000"/>
                <w:sz w:val="24"/>
                <w:szCs w:val="24"/>
              </w:rPr>
              <w:t xml:space="preserve">consent</w:t>
            </w:r>
            <w:r>
              <w:rPr>
                <w:rFonts w:ascii="Cambria" w:cs="Cambria" w:eastAsia="Cambria" w:hAnsi="Cambria"/>
                <w:b w:val="false"/>
                <w:bCs w:val="false"/>
                <w:i w:val="false"/>
                <w:iCs w:val="false"/>
                <w:strike w:val="false"/>
                <w:color w:val="000000"/>
                <w:sz w:val="24"/>
                <w:szCs w:val="24"/>
              </w:rPr>
              <w:t xml:space="preserve"> requires informed, voluntary, and affirmative agreement to the identity assignment and all its attendant obligations, free from duress or coercion. </w:t>
            </w:r>
            <w:r>
              <w:rPr>
                <w:rFonts w:ascii="Cambria" w:cs="Cambria" w:eastAsia="Cambria" w:hAnsi="Cambria"/>
                <w:b/>
                <w:bCs/>
                <w:i w:val="false"/>
                <w:iCs w:val="false"/>
                <w:strike w:val="false"/>
                <w:color w:val="000000"/>
                <w:sz w:val="24"/>
                <w:szCs w:val="24"/>
              </w:rPr>
              <w:t xml:space="preserve">Acquiescence</w:t>
            </w:r>
            <w:r>
              <w:rPr>
                <w:rFonts w:ascii="Cambria" w:cs="Cambria" w:eastAsia="Cambria" w:hAnsi="Cambria"/>
                <w:b w:val="false"/>
                <w:bCs w:val="false"/>
                <w:i w:val="false"/>
                <w:iCs w:val="false"/>
                <w:strike w:val="false"/>
                <w:color w:val="000000"/>
                <w:sz w:val="24"/>
                <w:szCs w:val="24"/>
              </w:rPr>
              <w:t xml:space="preserve">—the mere use of a name or participation in government systems out of practical necessity—does not constitute consent. The distinction is constitutionally significant: obligations imposed on the basis of acquiescence lack the voluntary foundation required by due process.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Jurisdictional Attachment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mechanism by which the government claims authority over an individual based on the individual’s presumed identity and assigned status. Jurisdictional attachment presupposes a lawful identity determination; absent such a determination, the government’s jurisdictional claim is subject to challenge as constitutionally defective.</w:t>
            </w:r>
          </w:p>
        </w:tc>
      </w:tr>
    </w:tbl>
    <w:p>
      <w:pPr>
        <w:spacing w:after="200" w:before="0"/>
      </w:pPr>
    </w:p>
    <w:p>
      <w:pPr>
        <w:pBdr>
          <w:bottom w:val="single" w:color="000000" w:sz="6"/>
        </w:pBdr>
        <w:spacing w:after="240" w:before="240"/>
      </w:pP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END OF DOCUMENT</w:t>
      </w: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Identity Doctrine Package — Litigation-Ready Artifacts</w:t>
      </w: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Prepared April 21,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6e1WFm9gBFAq1MYfDw9dx</dc:title>
  <dc:creator>Un-named</dc:creator>
  <dc:description>Generated document</dc:description>
  <cp:lastModifiedBy>Un-named</cp:lastModifiedBy>
  <cp:revision>1</cp:revision>
  <dcterms:created xsi:type="dcterms:W3CDTF">2026-04-22T03:45:25.376Z</dcterms:created>
  <dcterms:modified xsi:type="dcterms:W3CDTF">2026-04-22T03:45:25.376Z</dcterms:modified>
</cp:coreProperties>
</file>

<file path=docProps/custom.xml><?xml version="1.0" encoding="utf-8"?>
<Properties xmlns="http://schemas.openxmlformats.org/officeDocument/2006/custom-properties" xmlns:vt="http://schemas.openxmlformats.org/officeDocument/2006/docPropsVTypes"/>
</file>